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Tuesday 22 September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16–22 Sep</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i w:val="0"/>
          <w:color w:val="1A2E55"/>
          <w:sz w:val="19"/>
        </w:rPr>
        <w:t xml:space="preserve">Today. </w:t>
      </w:r>
      <w:r>
        <w:rPr>
          <w:b w:val="0"/>
          <w:i w:val="0"/>
          <w:sz w:val="19"/>
        </w:rPr>
        <w:t>Today the 15 stocks moved +0.8% on average (9 up, 2 down); over 16–22 Sep they moved +0.5%. Weakest: Telecommunications (-2.9%), Consumer Goods (-0.7%) and REIT (-0.5%); strongest: Banking (+2.9%) and Financial Services (+1.9%).</w:t>
      </w:r>
    </w:p>
    <w:p>
      <w:pPr>
        <w:pStyle w:val="ListBullet"/>
        <w:spacing w:after="40"/>
      </w:pPr>
      <w:r>
        <w:rPr>
          <w:b/>
          <w:i w:val="0"/>
          <w:color w:val="1A2E55"/>
          <w:sz w:val="19"/>
        </w:rPr>
        <w:t xml:space="preserve">Why. </w:t>
      </w:r>
      <w:r>
        <w:rPr>
          <w:b w:val="0"/>
          <w:i w:val="0"/>
          <w:sz w:val="19"/>
        </w:rPr>
        <w:t>Biggest movers over 16–22 Sep: ST Engineering (+5.5%), OCBC Bank (+3.7%) and UOB (+3.6%). OCBC Bank and UOB moved without a company news story; the moves look sector-wide. For ST Engineering, the company news and the price point the same way. See section 2.</w:t>
      </w:r>
    </w:p>
    <w:p>
      <w:pPr>
        <w:pStyle w:val="ListBullet"/>
        <w:spacing w:after="40"/>
      </w:pPr>
      <w:r>
        <w:rPr>
          <w:b/>
          <w:i w:val="0"/>
          <w:color w:val="1A2E55"/>
          <w:sz w:val="19"/>
        </w:rPr>
        <w:t xml:space="preserve">Backdrop. </w:t>
      </w:r>
      <w:r>
        <w:rPr>
          <w:b w:val="0"/>
          <w:i w:val="0"/>
          <w:sz w:val="19"/>
        </w:rPr>
        <w:t>The market backdrop is calm (VIX 14.9), but Singapore ETF options lean defensive (put/call 1.52): more traders are buying protection against a fall.</w:t>
      </w:r>
    </w:p>
    <w:p>
      <w:pPr>
        <w:pStyle w:val="ListBullet"/>
        <w:spacing w:after="40"/>
      </w:pPr>
      <w:r>
        <w:rPr>
          <w:b/>
          <w:i w:val="0"/>
          <w:color w:val="1A2E55"/>
          <w:sz w:val="19"/>
        </w:rPr>
        <w:t xml:space="preserve">New today. </w:t>
      </w:r>
      <w:r>
        <w:rPr>
          <w:b w:val="0"/>
          <w:i w:val="0"/>
          <w:sz w:val="19"/>
        </w:rPr>
        <w:t>Today's news added a positive signal for SGX Group (already in the price), DBS Group (not yet in the price), UOB (already in the price) and Ascendas REIT (not yet in the price). See section 2.</w:t>
      </w:r>
    </w:p>
    <w:p>
      <w:pPr>
        <w:pStyle w:val="ListBullet"/>
        <w:spacing w:after="40"/>
      </w:pPr>
      <w:r>
        <w:rPr>
          <w:b/>
          <w:i w:val="0"/>
          <w:color w:val="1A2E55"/>
          <w:sz w:val="19"/>
        </w:rPr>
        <w:t xml:space="preserve">Next 3 days. </w:t>
      </w:r>
      <w:r>
        <w:rPr>
          <w:b w:val="0"/>
          <w:i w:val="0"/>
          <w:sz w:val="19"/>
        </w:rPr>
        <w:t>The forecast model leans towards a fall for seven stocks and no big move for the rest (only Singtel and ST Engineering with a ✓ record); normal 3-day swings run from ±1.0% (Mapletree Industrial) to ±2.9% (SGX Group), so a bigger move than a stock's own swing would be unusual. See section 3.</w:t>
      </w:r>
    </w:p>
    <w:p>
      <w:pPr>
        <w:pStyle w:val="ListBullet"/>
        <w:spacing w:after="40"/>
      </w:pPr>
      <w:r>
        <w:rPr>
          <w:b/>
          <w:i w:val="0"/>
          <w:color w:val="1A2E55"/>
          <w:sz w:val="19"/>
        </w:rPr>
        <w:t xml:space="preserve">For you. </w:t>
      </w:r>
      <w:r>
        <w:rPr>
          <w:b w:val="0"/>
          <w:i w:val="0"/>
          <w:sz w:val="19"/>
        </w:rPr>
        <w:t>Flagged ⚑, with a usable model record: ST Engineering, where today's news gives no signal, but the forecast model leans to a fall; Singtel, where today's news gives no signal, but the forecast model leans to a fall. Their cards are worth reading first. The moves in OCBC Bank and UOB came without company news, so sector or market news is the place to check before reacting. If you prefer less day-to-day movement, Sembcorp Industries, Keppel Corp, Mapletree Pan Asia Comm. Trust, Wilmar Intl and Mapletree Industrial have the highest chance of no big move.</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calm market, VIX below 15; Singapore ETF options lean negative;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16–22 Sep</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SGX Group ★</w:t>
            </w:r>
          </w:p>
        </w:tc>
        <w:tc>
          <w:tcPr>
            <w:tcW w:type="dxa" w:w="662"/>
          </w:tcPr>
          <w:p>
            <w:pPr>
              <w:jc w:val="right"/>
            </w:pPr>
            <w:r>
              <w:rPr>
                <w:b w:val="0"/>
                <w:i w:val="0"/>
                <w:color w:val="1C5CAB"/>
                <w:sz w:val="15"/>
              </w:rPr>
              <w:t>+2.9%</w:t>
            </w:r>
          </w:p>
        </w:tc>
        <w:tc>
          <w:tcPr>
            <w:tcW w:type="dxa" w:w="792"/>
          </w:tcPr>
          <w:p>
            <w:pPr>
              <w:jc w:val="right"/>
            </w:pPr>
            <w:r>
              <w:rPr>
                <w:b w:val="0"/>
                <w:i w:val="0"/>
                <w:color w:val="1C5CAB"/>
                <w:sz w:val="15"/>
              </w:rPr>
              <w:t>+1.9%</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Oversold</w:t>
            </w:r>
          </w:p>
        </w:tc>
        <w:tc>
          <w:tcPr>
            <w:tcW w:type="dxa" w:w="1642"/>
          </w:tcPr>
          <w:p>
            <w:r>
              <w:rPr>
                <w:b w:val="0"/>
                <w:i w:val="0"/>
                <w:sz w:val="15"/>
              </w:rPr>
              <w:t>Price agreed</w:t>
            </w:r>
          </w:p>
        </w:tc>
      </w:tr>
      <w:tr>
        <w:tc>
          <w:tcPr>
            <w:tcW w:type="dxa" w:w="360"/>
            <w:shd w:val="clear" w:color="auto" w:fill="F7F7F5"/>
          </w:tcPr>
          <w:p>
            <w:r>
              <w:rPr>
                <w:b w:val="0"/>
                <w:i w:val="0"/>
                <w:sz w:val="15"/>
              </w:rPr>
              <w:t>2</w:t>
            </w:r>
          </w:p>
        </w:tc>
        <w:tc>
          <w:tcPr>
            <w:tcW w:type="dxa" w:w="2189"/>
            <w:shd w:val="clear" w:color="auto" w:fill="F7F7F5"/>
          </w:tcPr>
          <w:p>
            <w:r>
              <w:rPr>
                <w:b w:val="0"/>
                <w:i w:val="0"/>
                <w:sz w:val="15"/>
              </w:rPr>
              <w:t>DBS Group ★</w:t>
            </w:r>
          </w:p>
        </w:tc>
        <w:tc>
          <w:tcPr>
            <w:tcW w:type="dxa" w:w="662"/>
            <w:shd w:val="clear" w:color="auto" w:fill="F7F7F5"/>
          </w:tcPr>
          <w:p>
            <w:pPr>
              <w:jc w:val="right"/>
            </w:pPr>
            <w:r>
              <w:rPr>
                <w:b w:val="0"/>
                <w:i w:val="0"/>
                <w:color w:val="1C5CAB"/>
                <w:sz w:val="15"/>
              </w:rPr>
              <w:t>+0.6%</w:t>
            </w:r>
          </w:p>
        </w:tc>
        <w:tc>
          <w:tcPr>
            <w:tcW w:type="dxa" w:w="792"/>
            <w:shd w:val="clear" w:color="auto" w:fill="F7F7F5"/>
          </w:tcPr>
          <w:p>
            <w:pPr>
              <w:jc w:val="right"/>
            </w:pPr>
            <w:r>
              <w:rPr>
                <w:b w:val="0"/>
                <w:i w:val="0"/>
                <w:color w:val="1C5CAB"/>
                <w:sz w:val="15"/>
              </w:rPr>
              <w:t>+1.4%</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3</w:t>
            </w:r>
          </w:p>
        </w:tc>
        <w:tc>
          <w:tcPr>
            <w:tcW w:type="dxa" w:w="2189"/>
          </w:tcPr>
          <w:p>
            <w:r>
              <w:rPr>
                <w:b w:val="0"/>
                <w:i w:val="0"/>
                <w:sz w:val="15"/>
              </w:rPr>
              <w:t>UOB ★</w:t>
            </w:r>
          </w:p>
        </w:tc>
        <w:tc>
          <w:tcPr>
            <w:tcW w:type="dxa" w:w="662"/>
          </w:tcPr>
          <w:p>
            <w:pPr>
              <w:jc w:val="right"/>
            </w:pPr>
            <w:r>
              <w:rPr>
                <w:b w:val="0"/>
                <w:i w:val="0"/>
                <w:color w:val="1C5CAB"/>
                <w:sz w:val="15"/>
              </w:rPr>
              <w:t>+1.7%</w:t>
            </w:r>
          </w:p>
        </w:tc>
        <w:tc>
          <w:tcPr>
            <w:tcW w:type="dxa" w:w="792"/>
          </w:tcPr>
          <w:p>
            <w:pPr>
              <w:jc w:val="right"/>
            </w:pPr>
            <w:r>
              <w:rPr>
                <w:b w:val="0"/>
                <w:i w:val="0"/>
                <w:color w:val="1C5CAB"/>
                <w:sz w:val="15"/>
              </w:rPr>
              <w:t>+3.6%</w:t>
            </w:r>
          </w:p>
        </w:tc>
        <w:tc>
          <w:tcPr>
            <w:tcW w:type="dxa" w:w="1037"/>
            <w:shd w:val="clear" w:color="auto" w:fill="DCEAFB"/>
          </w:tcPr>
          <w:p>
            <w:r>
              <w:rPr>
                <w:b/>
                <w:i w:val="0"/>
                <w:color w:val="1C5CAB"/>
                <w:sz w:val="15"/>
              </w:rPr>
              <w:t>Positive</w:t>
            </w:r>
          </w:p>
        </w:tc>
        <w:tc>
          <w:tcPr>
            <w:tcW w:type="dxa" w:w="1382"/>
          </w:tcPr>
          <w:p>
            <w:r>
              <w:rPr>
                <w:b w:val="0"/>
                <w:i w:val="0"/>
                <w:sz w:val="15"/>
              </w:rPr>
              <w:t>Mixed (50)</w:t>
            </w:r>
          </w:p>
        </w:tc>
        <w:tc>
          <w:tcPr>
            <w:tcW w:type="dxa" w:w="1872"/>
          </w:tcPr>
          <w:p>
            <w:r>
              <w:rPr>
                <w:b w:val="0"/>
                <w:i w:val="0"/>
                <w:sz w:val="15"/>
              </w:rPr>
              <w:t>Weekly up · Above avg price</w:t>
            </w:r>
          </w:p>
        </w:tc>
        <w:tc>
          <w:tcPr>
            <w:tcW w:type="dxa" w:w="1642"/>
          </w:tcPr>
          <w:p>
            <w:r>
              <w:rPr>
                <w:b w:val="0"/>
                <w:i w:val="0"/>
                <w:sz w:val="15"/>
              </w:rPr>
              <w:t>Price agreed</w:t>
            </w:r>
          </w:p>
        </w:tc>
      </w:tr>
      <w:tr>
        <w:tc>
          <w:tcPr>
            <w:tcW w:type="dxa" w:w="360"/>
            <w:shd w:val="clear" w:color="auto" w:fill="F7F7F5"/>
          </w:tcPr>
          <w:p>
            <w:r>
              <w:rPr>
                <w:b w:val="0"/>
                <w:i w:val="0"/>
                <w:sz w:val="15"/>
              </w:rPr>
              <w:t>4</w:t>
            </w:r>
          </w:p>
        </w:tc>
        <w:tc>
          <w:tcPr>
            <w:tcW w:type="dxa" w:w="2189"/>
            <w:shd w:val="clear" w:color="auto" w:fill="F7F7F5"/>
          </w:tcPr>
          <w:p>
            <w:r>
              <w:rPr>
                <w:b w:val="0"/>
                <w:i w:val="0"/>
                <w:sz w:val="15"/>
              </w:rPr>
              <w:t>Ascendas REIT</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A12D2C"/>
                <w:sz w:val="15"/>
              </w:rPr>
              <w:t>-0.4%</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neutral (18)</w:t>
            </w:r>
          </w:p>
        </w:tc>
        <w:tc>
          <w:tcPr>
            <w:tcW w:type="dxa" w:w="1872"/>
            <w:shd w:val="clear" w:color="auto" w:fill="F7F7F5"/>
          </w:tcPr>
          <w:p>
            <w:r>
              <w:rPr>
                <w:b w:val="0"/>
                <w:i w:val="0"/>
                <w:sz w:val="15"/>
              </w:rPr>
              <w:t>Oversold · Weekly down</w:t>
            </w:r>
          </w:p>
        </w:tc>
        <w:tc>
          <w:tcPr>
            <w:tcW w:type="dxa" w:w="1642"/>
            <w:shd w:val="clear" w:color="auto" w:fill="F7F7F5"/>
          </w:tcPr>
          <w:p>
            <w:r>
              <w:rPr>
                <w:b w:val="0"/>
                <w:i w:val="0"/>
                <w:sz w:val="15"/>
              </w:rPr>
              <w:t>Not yet in the price</w:t>
            </w:r>
          </w:p>
        </w:tc>
      </w:tr>
      <w:tr>
        <w:tc>
          <w:tcPr>
            <w:tcW w:type="dxa" w:w="360"/>
          </w:tcPr>
          <w:p>
            <w:r>
              <w:rPr>
                <w:b w:val="0"/>
                <w:i w:val="0"/>
                <w:sz w:val="15"/>
              </w:rPr>
              <w:t>5</w:t>
            </w:r>
          </w:p>
        </w:tc>
        <w:tc>
          <w:tcPr>
            <w:tcW w:type="dxa" w:w="2189"/>
          </w:tcPr>
          <w:p>
            <w:r>
              <w:rPr>
                <w:b w:val="0"/>
                <w:i w:val="0"/>
                <w:sz w:val="15"/>
              </w:rPr>
              <w:t>Sembcorp Industries ★</w:t>
            </w:r>
          </w:p>
        </w:tc>
        <w:tc>
          <w:tcPr>
            <w:tcW w:type="dxa" w:w="662"/>
          </w:tcPr>
          <w:p>
            <w:pPr>
              <w:jc w:val="right"/>
            </w:pPr>
            <w:r>
              <w:rPr>
                <w:b w:val="0"/>
                <w:i w:val="0"/>
                <w:color w:val="1C5CAB"/>
                <w:sz w:val="15"/>
              </w:rPr>
              <w:t>+0.5%</w:t>
            </w:r>
          </w:p>
        </w:tc>
        <w:tc>
          <w:tcPr>
            <w:tcW w:type="dxa" w:w="792"/>
          </w:tcPr>
          <w:p>
            <w:pPr>
              <w:jc w:val="right"/>
            </w:pPr>
            <w:r>
              <w:rPr>
                <w:b w:val="0"/>
                <w:i w:val="0"/>
                <w:color w:val="A12D2C"/>
                <w:sz w:val="15"/>
              </w:rPr>
              <w:t>-1.2%</w:t>
            </w:r>
          </w:p>
        </w:tc>
        <w:tc>
          <w:tcPr>
            <w:tcW w:type="dxa" w:w="1037"/>
            <w:shd w:val="clear" w:color="auto" w:fill="EFEEEA"/>
          </w:tcPr>
          <w:p>
            <w:r>
              <w:rPr>
                <w:b/>
                <w:i w:val="0"/>
                <w:color w:val="52514E"/>
                <w:sz w:val="15"/>
              </w:rPr>
              <w:t>Neutral</w:t>
            </w:r>
          </w:p>
        </w:tc>
        <w:tc>
          <w:tcPr>
            <w:tcW w:type="dxa" w:w="1382"/>
          </w:tcPr>
          <w:p>
            <w:r>
              <w:rPr>
                <w:b w:val="0"/>
                <w:i w:val="0"/>
                <w:sz w:val="15"/>
              </w:rPr>
              <w:t>Mixed (25)</w:t>
            </w:r>
          </w:p>
        </w:tc>
        <w:tc>
          <w:tcPr>
            <w:tcW w:type="dxa" w:w="1872"/>
          </w:tcPr>
          <w:p>
            <w:r>
              <w:rPr>
                <w:b w:val="0"/>
                <w:i w:val="0"/>
                <w:sz w:val="15"/>
              </w:rPr>
              <w:t>Above avg price</w:t>
            </w:r>
          </w:p>
        </w:tc>
        <w:tc>
          <w:tcPr>
            <w:tcW w:type="dxa" w:w="1642"/>
          </w:tcPr>
          <w:p>
            <w:r>
              <w:rPr>
                <w:b w:val="0"/>
                <w:i w:val="0"/>
                <w:sz w:val="15"/>
              </w:rPr>
              <w:t>No signal, little move</w:t>
            </w:r>
          </w:p>
        </w:tc>
      </w:tr>
      <w:tr>
        <w:tc>
          <w:tcPr>
            <w:tcW w:type="dxa" w:w="360"/>
            <w:shd w:val="clear" w:color="auto" w:fill="F7F7F5"/>
          </w:tcPr>
          <w:p>
            <w:r>
              <w:rPr>
                <w:b w:val="0"/>
                <w:i w:val="0"/>
                <w:sz w:val="15"/>
              </w:rPr>
              <w:t>6</w:t>
            </w:r>
          </w:p>
        </w:tc>
        <w:tc>
          <w:tcPr>
            <w:tcW w:type="dxa" w:w="2189"/>
            <w:shd w:val="clear" w:color="auto" w:fill="F7F7F5"/>
          </w:tcPr>
          <w:p>
            <w:r>
              <w:rPr>
                <w:b w:val="0"/>
                <w:i w:val="0"/>
                <w:sz w:val="15"/>
              </w:rPr>
              <w:t>Keppel Corp ★</w:t>
            </w:r>
          </w:p>
        </w:tc>
        <w:tc>
          <w:tcPr>
            <w:tcW w:type="dxa" w:w="662"/>
            <w:shd w:val="clear" w:color="auto" w:fill="F7F7F5"/>
          </w:tcPr>
          <w:p>
            <w:pPr>
              <w:jc w:val="right"/>
            </w:pPr>
            <w:r>
              <w:rPr>
                <w:b w:val="0"/>
                <w:i w:val="0"/>
                <w:color w:val="52514E"/>
                <w:sz w:val="15"/>
              </w:rPr>
              <w:t>+0.3%</w:t>
            </w:r>
          </w:p>
        </w:tc>
        <w:tc>
          <w:tcPr>
            <w:tcW w:type="dxa" w:w="792"/>
            <w:shd w:val="clear" w:color="auto" w:fill="F7F7F5"/>
          </w:tcPr>
          <w:p>
            <w:pPr>
              <w:jc w:val="right"/>
            </w:pPr>
            <w:r>
              <w:rPr>
                <w:b w:val="0"/>
                <w:i w:val="0"/>
                <w:color w:val="A12D2C"/>
                <w:sz w:val="15"/>
              </w:rPr>
              <w:t>-0.9%</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neutral (32)</w:t>
            </w:r>
          </w:p>
        </w:tc>
        <w:tc>
          <w:tcPr>
            <w:tcW w:type="dxa" w:w="1872"/>
            <w:shd w:val="clear" w:color="auto" w:fill="F7F7F5"/>
          </w:tcPr>
          <w:p>
            <w:r>
              <w:rPr>
                <w:b w:val="0"/>
                <w:i w:val="0"/>
                <w:sz w:val="15"/>
              </w:rPr>
              <w:t>—</w:t>
            </w:r>
          </w:p>
        </w:tc>
        <w:tc>
          <w:tcPr>
            <w:tcW w:type="dxa" w:w="1642"/>
            <w:shd w:val="clear" w:color="auto" w:fill="F7F7F5"/>
          </w:tcPr>
          <w:p>
            <w:r>
              <w:rPr>
                <w:b w:val="0"/>
                <w:i w:val="0"/>
                <w:sz w:val="15"/>
              </w:rPr>
              <w:t>No signal, little move</w:t>
            </w:r>
          </w:p>
        </w:tc>
      </w:tr>
      <w:tr>
        <w:tc>
          <w:tcPr>
            <w:tcW w:type="dxa" w:w="360"/>
          </w:tcPr>
          <w:p>
            <w:r>
              <w:rPr>
                <w:b w:val="0"/>
                <w:i w:val="0"/>
                <w:sz w:val="15"/>
              </w:rPr>
              <w:t>7</w:t>
            </w:r>
          </w:p>
        </w:tc>
        <w:tc>
          <w:tcPr>
            <w:tcW w:type="dxa" w:w="2189"/>
          </w:tcPr>
          <w:p>
            <w:r>
              <w:rPr>
                <w:b w:val="0"/>
                <w:i w:val="0"/>
                <w:sz w:val="15"/>
              </w:rPr>
              <w:t>Mapletree Industrial ★</w:t>
            </w:r>
          </w:p>
        </w:tc>
        <w:tc>
          <w:tcPr>
            <w:tcW w:type="dxa" w:w="662"/>
          </w:tcPr>
          <w:p>
            <w:pPr>
              <w:jc w:val="right"/>
            </w:pPr>
            <w:r>
              <w:rPr>
                <w:b w:val="0"/>
                <w:i w:val="0"/>
                <w:color w:val="52514E"/>
                <w:sz w:val="15"/>
              </w:rPr>
              <w:t>+0.0%</w:t>
            </w:r>
          </w:p>
        </w:tc>
        <w:tc>
          <w:tcPr>
            <w:tcW w:type="dxa" w:w="792"/>
          </w:tcPr>
          <w:p>
            <w:pPr>
              <w:jc w:val="right"/>
            </w:pPr>
            <w:r>
              <w:rPr>
                <w:b w:val="0"/>
                <w:i w:val="0"/>
                <w:color w:val="1C5CAB"/>
                <w:sz w:val="15"/>
              </w:rPr>
              <w:t>+0.5%</w:t>
            </w:r>
          </w:p>
        </w:tc>
        <w:tc>
          <w:tcPr>
            <w:tcW w:type="dxa" w:w="1037"/>
            <w:shd w:val="clear" w:color="auto" w:fill="EFEEEA"/>
          </w:tcPr>
          <w:p>
            <w:r>
              <w:rPr>
                <w:b/>
                <w:i w:val="0"/>
                <w:color w:val="52514E"/>
                <w:sz w:val="15"/>
              </w:rPr>
              <w:t>Neutral</w:t>
            </w:r>
          </w:p>
        </w:tc>
        <w:tc>
          <w:tcPr>
            <w:tcW w:type="dxa" w:w="1382"/>
          </w:tcPr>
          <w:p>
            <w:r>
              <w:rPr>
                <w:b w:val="0"/>
                <w:i w:val="0"/>
                <w:sz w:val="15"/>
              </w:rPr>
              <w:t>Mostly neutral (27)</w:t>
            </w:r>
          </w:p>
        </w:tc>
        <w:tc>
          <w:tcPr>
            <w:tcW w:type="dxa" w:w="1872"/>
          </w:tcPr>
          <w:p>
            <w:r>
              <w:rPr>
                <w:b w:val="0"/>
                <w:i w:val="0"/>
                <w:sz w:val="15"/>
              </w:rPr>
              <w:t>—</w:t>
            </w:r>
          </w:p>
        </w:tc>
        <w:tc>
          <w:tcPr>
            <w:tcW w:type="dxa" w:w="1642"/>
          </w:tcPr>
          <w:p>
            <w:r>
              <w:rPr>
                <w:b w:val="0"/>
                <w:i w:val="0"/>
                <w:sz w:val="15"/>
              </w:rPr>
              <w:t>No signal, little move</w:t>
            </w:r>
          </w:p>
        </w:tc>
      </w:tr>
      <w:tr>
        <w:tc>
          <w:tcPr>
            <w:tcW w:type="dxa" w:w="360"/>
            <w:shd w:val="clear" w:color="auto" w:fill="F7F7F5"/>
          </w:tcPr>
          <w:p>
            <w:r>
              <w:rPr>
                <w:b w:val="0"/>
                <w:i w:val="0"/>
                <w:sz w:val="15"/>
              </w:rPr>
              <w:t>8</w:t>
            </w:r>
          </w:p>
        </w:tc>
        <w:tc>
          <w:tcPr>
            <w:tcW w:type="dxa" w:w="2189"/>
            <w:shd w:val="clear" w:color="auto" w:fill="F7F7F5"/>
          </w:tcPr>
          <w:p>
            <w:r>
              <w:rPr>
                <w:b w:val="0"/>
                <w:i w:val="0"/>
                <w:sz w:val="15"/>
              </w:rPr>
              <w:t>ST Engineering ⚑</w:t>
            </w:r>
          </w:p>
        </w:tc>
        <w:tc>
          <w:tcPr>
            <w:tcW w:type="dxa" w:w="662"/>
            <w:shd w:val="clear" w:color="auto" w:fill="F7F7F5"/>
          </w:tcPr>
          <w:p>
            <w:pPr>
              <w:jc w:val="right"/>
            </w:pPr>
            <w:r>
              <w:rPr>
                <w:b w:val="0"/>
                <w:i w:val="0"/>
                <w:color w:val="1C5CAB"/>
                <w:sz w:val="15"/>
              </w:rPr>
              <w:t>+2.9%</w:t>
            </w:r>
          </w:p>
        </w:tc>
        <w:tc>
          <w:tcPr>
            <w:tcW w:type="dxa" w:w="792"/>
            <w:shd w:val="clear" w:color="auto" w:fill="F7F7F5"/>
          </w:tcPr>
          <w:p>
            <w:pPr>
              <w:jc w:val="right"/>
            </w:pPr>
            <w:r>
              <w:rPr>
                <w:b w:val="0"/>
                <w:i w:val="0"/>
                <w:color w:val="1C5CAB"/>
                <w:sz w:val="15"/>
              </w:rPr>
              <w:t>+5.5%</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positive (43)</w:t>
            </w:r>
          </w:p>
        </w:tc>
        <w:tc>
          <w:tcPr>
            <w:tcW w:type="dxa" w:w="1872"/>
            <w:shd w:val="clear" w:color="auto" w:fill="F7F7F5"/>
          </w:tcPr>
          <w:p>
            <w:r>
              <w:rPr>
                <w:b w:val="0"/>
                <w:i w:val="0"/>
                <w:sz w:val="15"/>
              </w:rPr>
              <w:t>—</w:t>
            </w:r>
          </w:p>
        </w:tc>
        <w:tc>
          <w:tcPr>
            <w:tcW w:type="dxa" w:w="1642"/>
            <w:shd w:val="clear" w:color="auto" w:fill="F7F7F5"/>
          </w:tcPr>
          <w:p>
            <w:r>
              <w:rPr>
                <w:b w:val="0"/>
                <w:i w:val="0"/>
                <w:sz w:val="15"/>
              </w:rPr>
              <w:t>Moved without a signal</w:t>
            </w:r>
          </w:p>
        </w:tc>
      </w:tr>
      <w:tr>
        <w:tc>
          <w:tcPr>
            <w:tcW w:type="dxa" w:w="360"/>
          </w:tcPr>
          <w:p>
            <w:r>
              <w:rPr>
                <w:b w:val="0"/>
                <w:i w:val="0"/>
                <w:sz w:val="15"/>
              </w:rPr>
              <w:t>9</w:t>
            </w:r>
          </w:p>
        </w:tc>
        <w:tc>
          <w:tcPr>
            <w:tcW w:type="dxa" w:w="2189"/>
          </w:tcPr>
          <w:p>
            <w:r>
              <w:rPr>
                <w:b w:val="0"/>
                <w:i w:val="0"/>
                <w:sz w:val="15"/>
              </w:rPr>
              <w:t>OCBC Bank</w:t>
            </w:r>
          </w:p>
        </w:tc>
        <w:tc>
          <w:tcPr>
            <w:tcW w:type="dxa" w:w="662"/>
          </w:tcPr>
          <w:p>
            <w:pPr>
              <w:jc w:val="right"/>
            </w:pPr>
            <w:r>
              <w:rPr>
                <w:b w:val="0"/>
                <w:i w:val="0"/>
                <w:color w:val="1C5CAB"/>
                <w:sz w:val="15"/>
              </w:rPr>
              <w:t>+1.5%</w:t>
            </w:r>
          </w:p>
        </w:tc>
        <w:tc>
          <w:tcPr>
            <w:tcW w:type="dxa" w:w="792"/>
          </w:tcPr>
          <w:p>
            <w:pPr>
              <w:jc w:val="right"/>
            </w:pPr>
            <w:r>
              <w:rPr>
                <w:b w:val="0"/>
                <w:i w:val="0"/>
                <w:color w:val="1C5CAB"/>
                <w:sz w:val="15"/>
              </w:rPr>
              <w:t>+3.7%</w:t>
            </w:r>
          </w:p>
        </w:tc>
        <w:tc>
          <w:tcPr>
            <w:tcW w:type="dxa" w:w="1037"/>
            <w:shd w:val="clear" w:color="auto" w:fill="EFEEEA"/>
          </w:tcPr>
          <w:p>
            <w:r>
              <w:rPr>
                <w:b/>
                <w:i w:val="0"/>
                <w:color w:val="52514E"/>
                <w:sz w:val="15"/>
              </w:rPr>
              <w:t>Neutral</w:t>
            </w:r>
          </w:p>
        </w:tc>
        <w:tc>
          <w:tcPr>
            <w:tcW w:type="dxa" w:w="1382"/>
          </w:tcPr>
          <w:p>
            <w:r>
              <w:rPr>
                <w:b w:val="0"/>
                <w:i w:val="0"/>
                <w:sz w:val="15"/>
              </w:rPr>
              <w:t>Mixed (50)</w:t>
            </w:r>
          </w:p>
        </w:tc>
        <w:tc>
          <w:tcPr>
            <w:tcW w:type="dxa" w:w="1872"/>
          </w:tcPr>
          <w:p>
            <w:r>
              <w:rPr>
                <w:b w:val="0"/>
                <w:i w:val="0"/>
                <w:sz w:val="15"/>
              </w:rPr>
              <w:t>Weekly up · Above avg price</w:t>
            </w:r>
          </w:p>
        </w:tc>
        <w:tc>
          <w:tcPr>
            <w:tcW w:type="dxa" w:w="1642"/>
          </w:tcPr>
          <w:p>
            <w:r>
              <w:rPr>
                <w:b w:val="0"/>
                <w:i w:val="0"/>
                <w:sz w:val="15"/>
              </w:rPr>
              <w:t>Moved without a signal</w:t>
            </w:r>
          </w:p>
        </w:tc>
      </w:tr>
      <w:tr>
        <w:tc>
          <w:tcPr>
            <w:tcW w:type="dxa" w:w="360"/>
            <w:shd w:val="clear" w:color="auto" w:fill="F7F7F5"/>
          </w:tcPr>
          <w:p>
            <w:r>
              <w:rPr>
                <w:b w:val="0"/>
                <w:i w:val="0"/>
                <w:sz w:val="15"/>
              </w:rPr>
              <w:t>10</w:t>
            </w:r>
          </w:p>
        </w:tc>
        <w:tc>
          <w:tcPr>
            <w:tcW w:type="dxa" w:w="2189"/>
            <w:shd w:val="clear" w:color="auto" w:fill="F7F7F5"/>
          </w:tcPr>
          <w:p>
            <w:r>
              <w:rPr>
                <w:b w:val="0"/>
                <w:i w:val="0"/>
                <w:sz w:val="15"/>
              </w:rPr>
              <w:t>Singtel ★ ⚑</w:t>
            </w:r>
          </w:p>
        </w:tc>
        <w:tc>
          <w:tcPr>
            <w:tcW w:type="dxa" w:w="662"/>
            <w:shd w:val="clear" w:color="auto" w:fill="F7F7F5"/>
          </w:tcPr>
          <w:p>
            <w:pPr>
              <w:jc w:val="right"/>
            </w:pPr>
            <w:r>
              <w:rPr>
                <w:b w:val="0"/>
                <w:i w:val="0"/>
                <w:color w:val="52514E"/>
                <w:sz w:val="15"/>
              </w:rPr>
              <w:t>-0.2%</w:t>
            </w:r>
          </w:p>
        </w:tc>
        <w:tc>
          <w:tcPr>
            <w:tcW w:type="dxa" w:w="792"/>
            <w:shd w:val="clear" w:color="auto" w:fill="F7F7F5"/>
          </w:tcPr>
          <w:p>
            <w:pPr>
              <w:jc w:val="right"/>
            </w:pPr>
            <w:r>
              <w:rPr>
                <w:b w:val="0"/>
                <w:i w:val="0"/>
                <w:color w:val="A12D2C"/>
                <w:sz w:val="15"/>
              </w:rPr>
              <w:t>-2.9%</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(50)</w:t>
            </w:r>
          </w:p>
        </w:tc>
        <w:tc>
          <w:tcPr>
            <w:tcW w:type="dxa" w:w="1872"/>
            <w:shd w:val="clear" w:color="auto" w:fill="F7F7F5"/>
          </w:tcPr>
          <w:p>
            <w:r>
              <w:rPr>
                <w:b w:val="0"/>
                <w:i w:val="0"/>
                <w:sz w:val="15"/>
              </w:rPr>
              <w:t>Below range</w:t>
            </w:r>
          </w:p>
        </w:tc>
        <w:tc>
          <w:tcPr>
            <w:tcW w:type="dxa" w:w="1642"/>
            <w:shd w:val="clear" w:color="auto" w:fill="F7F7F5"/>
          </w:tcPr>
          <w:p>
            <w:r>
              <w:rPr>
                <w:b w:val="0"/>
                <w:i w:val="0"/>
                <w:sz w:val="15"/>
              </w:rPr>
              <w:t>No signal, little move</w:t>
            </w:r>
          </w:p>
        </w:tc>
      </w:tr>
      <w:tr>
        <w:tc>
          <w:tcPr>
            <w:tcW w:type="dxa" w:w="360"/>
          </w:tcPr>
          <w:p>
            <w:r>
              <w:rPr>
                <w:b w:val="0"/>
                <w:i w:val="0"/>
                <w:sz w:val="15"/>
              </w:rPr>
              <w:t>11</w:t>
            </w:r>
          </w:p>
        </w:tc>
        <w:tc>
          <w:tcPr>
            <w:tcW w:type="dxa" w:w="2189"/>
          </w:tcPr>
          <w:p>
            <w:r>
              <w:rPr>
                <w:b w:val="0"/>
                <w:i w:val="0"/>
                <w:sz w:val="15"/>
              </w:rPr>
              <w:t>Mapletree Pan Asia Comm. Trust ★</w:t>
            </w:r>
          </w:p>
        </w:tc>
        <w:tc>
          <w:tcPr>
            <w:tcW w:type="dxa" w:w="662"/>
          </w:tcPr>
          <w:p>
            <w:pPr>
              <w:jc w:val="right"/>
            </w:pPr>
            <w:r>
              <w:rPr>
                <w:b w:val="0"/>
                <w:i w:val="0"/>
                <w:color w:val="52514E"/>
                <w:sz w:val="15"/>
              </w:rPr>
              <w:t>+0.0%</w:t>
            </w:r>
          </w:p>
        </w:tc>
        <w:tc>
          <w:tcPr>
            <w:tcW w:type="dxa" w:w="792"/>
          </w:tcPr>
          <w:p>
            <w:pPr>
              <w:jc w:val="right"/>
            </w:pPr>
            <w:r>
              <w:rPr>
                <w:b w:val="0"/>
                <w:i w:val="0"/>
                <w:color w:val="A12D2C"/>
                <w:sz w:val="15"/>
              </w:rPr>
              <w:t>-0.8%</w:t>
            </w:r>
          </w:p>
        </w:tc>
        <w:tc>
          <w:tcPr>
            <w:tcW w:type="dxa" w:w="1037"/>
            <w:shd w:val="clear" w:color="auto" w:fill="EFEEEA"/>
          </w:tcPr>
          <w:p>
            <w:r>
              <w:rPr>
                <w:b/>
                <w:i w:val="0"/>
                <w:color w:val="52514E"/>
                <w:sz w:val="15"/>
              </w:rPr>
              <w:t>Neutral</w:t>
            </w:r>
          </w:p>
        </w:tc>
        <w:tc>
          <w:tcPr>
            <w:tcW w:type="dxa" w:w="1382"/>
          </w:tcPr>
          <w:p>
            <w:r>
              <w:rPr>
                <w:b w:val="0"/>
                <w:i w:val="0"/>
                <w:sz w:val="15"/>
              </w:rPr>
              <w:t>Mixed (20)</w:t>
            </w:r>
          </w:p>
        </w:tc>
        <w:tc>
          <w:tcPr>
            <w:tcW w:type="dxa" w:w="1872"/>
          </w:tcPr>
          <w:p>
            <w:r>
              <w:rPr>
                <w:b w:val="0"/>
                <w:i w:val="0"/>
                <w:sz w:val="15"/>
              </w:rPr>
              <w:t>Weekly down</w:t>
            </w:r>
          </w:p>
        </w:tc>
        <w:tc>
          <w:tcPr>
            <w:tcW w:type="dxa" w:w="1642"/>
          </w:tcPr>
          <w:p>
            <w:r>
              <w:rPr>
                <w:b w:val="0"/>
                <w:i w:val="0"/>
                <w:sz w:val="15"/>
              </w:rPr>
              <w:t>No signal, little move</w:t>
            </w:r>
          </w:p>
        </w:tc>
      </w:tr>
      <w:tr>
        <w:tc>
          <w:tcPr>
            <w:tcW w:type="dxa" w:w="360"/>
            <w:shd w:val="clear" w:color="auto" w:fill="F7F7F5"/>
          </w:tcPr>
          <w:p>
            <w:r>
              <w:rPr>
                <w:b w:val="0"/>
                <w:i w:val="0"/>
                <w:sz w:val="15"/>
              </w:rPr>
              <w:t>12</w:t>
            </w:r>
          </w:p>
        </w:tc>
        <w:tc>
          <w:tcPr>
            <w:tcW w:type="dxa" w:w="2189"/>
            <w:shd w:val="clear" w:color="auto" w:fill="F7F7F5"/>
          </w:tcPr>
          <w:p>
            <w:r>
              <w:rPr>
                <w:b w:val="0"/>
                <w:i w:val="0"/>
                <w:sz w:val="15"/>
              </w:rPr>
              <w:t>Wilmar Intl</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A12D2C"/>
                <w:sz w:val="15"/>
              </w:rPr>
              <w:t>-1.4%</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neutral (21)</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 signal, little move</w:t>
            </w:r>
          </w:p>
        </w:tc>
      </w:tr>
      <w:tr>
        <w:tc>
          <w:tcPr>
            <w:tcW w:type="dxa" w:w="360"/>
          </w:tcPr>
          <w:p>
            <w:r>
              <w:rPr>
                <w:b w:val="0"/>
                <w:i w:val="0"/>
                <w:sz w:val="15"/>
              </w:rPr>
              <w:t>13</w:t>
            </w:r>
          </w:p>
        </w:tc>
        <w:tc>
          <w:tcPr>
            <w:tcW w:type="dxa" w:w="2189"/>
          </w:tcPr>
          <w:p>
            <w:r>
              <w:rPr>
                <w:b w:val="0"/>
                <w:i w:val="0"/>
                <w:sz w:val="15"/>
              </w:rPr>
              <w:t>CapitaLand Integ. Comm. Trust</w:t>
            </w:r>
          </w:p>
        </w:tc>
        <w:tc>
          <w:tcPr>
            <w:tcW w:type="dxa" w:w="662"/>
          </w:tcPr>
          <w:p>
            <w:pPr>
              <w:jc w:val="right"/>
            </w:pPr>
            <w:r>
              <w:rPr>
                <w:b w:val="0"/>
                <w:i w:val="0"/>
                <w:color w:val="A12D2C"/>
                <w:sz w:val="15"/>
              </w:rPr>
              <w:t>-0.9%</w:t>
            </w:r>
          </w:p>
        </w:tc>
        <w:tc>
          <w:tcPr>
            <w:tcW w:type="dxa" w:w="792"/>
          </w:tcPr>
          <w:p>
            <w:pPr>
              <w:jc w:val="right"/>
            </w:pPr>
            <w:r>
              <w:rPr>
                <w:b w:val="0"/>
                <w:i w:val="0"/>
                <w:color w:val="A12D2C"/>
                <w:sz w:val="15"/>
              </w:rPr>
              <w:t>-1.3%</w:t>
            </w:r>
          </w:p>
        </w:tc>
        <w:tc>
          <w:tcPr>
            <w:tcW w:type="dxa" w:w="1037"/>
            <w:shd w:val="clear" w:color="auto" w:fill="EFEEEA"/>
          </w:tcPr>
          <w:p>
            <w:r>
              <w:rPr>
                <w:b/>
                <w:i w:val="0"/>
                <w:color w:val="52514E"/>
                <w:sz w:val="15"/>
              </w:rPr>
              <w:t>Neutral</w:t>
            </w:r>
          </w:p>
        </w:tc>
        <w:tc>
          <w:tcPr>
            <w:tcW w:type="dxa" w:w="1382"/>
          </w:tcPr>
          <w:p>
            <w:r>
              <w:rPr>
                <w:b w:val="0"/>
                <w:i w:val="0"/>
                <w:sz w:val="15"/>
              </w:rPr>
              <w:t>Mostly neutral (22)</w:t>
            </w:r>
          </w:p>
        </w:tc>
        <w:tc>
          <w:tcPr>
            <w:tcW w:type="dxa" w:w="1872"/>
          </w:tcPr>
          <w:p>
            <w:r>
              <w:rPr>
                <w:b w:val="0"/>
                <w:i w:val="0"/>
                <w:sz w:val="15"/>
              </w:rPr>
              <w:t>—</w:t>
            </w:r>
          </w:p>
        </w:tc>
        <w:tc>
          <w:tcPr>
            <w:tcW w:type="dxa" w:w="1642"/>
          </w:tcPr>
          <w:p>
            <w:r>
              <w:rPr>
                <w:b w:val="0"/>
                <w:i w:val="0"/>
                <w:sz w:val="15"/>
              </w:rPr>
              <w:t>Moved without a signal</w:t>
            </w:r>
          </w:p>
        </w:tc>
      </w:tr>
      <w:tr>
        <w:tc>
          <w:tcPr>
            <w:tcW w:type="dxa" w:w="360"/>
            <w:shd w:val="clear" w:color="auto" w:fill="F7F7F5"/>
          </w:tcPr>
          <w:p>
            <w:r>
              <w:rPr>
                <w:b w:val="0"/>
                <w:i w:val="0"/>
                <w:sz w:val="15"/>
              </w:rPr>
              <w:t>14</w:t>
            </w:r>
          </w:p>
        </w:tc>
        <w:tc>
          <w:tcPr>
            <w:tcW w:type="dxa" w:w="2189"/>
            <w:shd w:val="clear" w:color="auto" w:fill="F7F7F5"/>
          </w:tcPr>
          <w:p>
            <w:r>
              <w:rPr>
                <w:b w:val="0"/>
                <w:i w:val="0"/>
                <w:sz w:val="15"/>
              </w:rPr>
              <w:t>Raffles Medical Group</w:t>
            </w:r>
          </w:p>
        </w:tc>
        <w:tc>
          <w:tcPr>
            <w:tcW w:type="dxa" w:w="662"/>
            <w:shd w:val="clear" w:color="auto" w:fill="F7F7F5"/>
          </w:tcPr>
          <w:p>
            <w:pPr>
              <w:jc w:val="right"/>
            </w:pPr>
            <w:r>
              <w:rPr>
                <w:b w:val="0"/>
                <w:i w:val="0"/>
                <w:color w:val="1C5CAB"/>
                <w:sz w:val="15"/>
              </w:rPr>
              <w:t>+0.6%</w:t>
            </w:r>
          </w:p>
        </w:tc>
        <w:tc>
          <w:tcPr>
            <w:tcW w:type="dxa" w:w="792"/>
            <w:shd w:val="clear" w:color="auto" w:fill="F7F7F5"/>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(27)</w:t>
            </w:r>
          </w:p>
        </w:tc>
        <w:tc>
          <w:tcPr>
            <w:tcW w:type="dxa" w:w="1872"/>
            <w:shd w:val="clear" w:color="auto" w:fill="F7F7F5"/>
          </w:tcPr>
          <w:p>
            <w:r>
              <w:rPr>
                <w:b w:val="0"/>
                <w:i w:val="0"/>
                <w:sz w:val="15"/>
              </w:rPr>
              <w:t>Weekly down</w:t>
            </w:r>
          </w:p>
        </w:tc>
        <w:tc>
          <w:tcPr>
            <w:tcW w:type="dxa" w:w="1642"/>
            <w:shd w:val="clear" w:color="auto" w:fill="F7F7F5"/>
          </w:tcPr>
          <w:p>
            <w:r>
              <w:rPr>
                <w:b w:val="0"/>
                <w:i w:val="0"/>
                <w:sz w:val="15"/>
              </w:rPr>
              <w:t>No signal, little move</w:t>
            </w:r>
          </w:p>
        </w:tc>
      </w:tr>
      <w:tr>
        <w:tc>
          <w:tcPr>
            <w:tcW w:type="dxa" w:w="360"/>
          </w:tcPr>
          <w:p>
            <w:r>
              <w:rPr>
                <w:b w:val="0"/>
                <w:i w:val="0"/>
                <w:sz w:val="15"/>
              </w:rPr>
              <w:t>15</w:t>
            </w:r>
          </w:p>
        </w:tc>
        <w:tc>
          <w:tcPr>
            <w:tcW w:type="dxa" w:w="2189"/>
          </w:tcPr>
          <w:p>
            <w:r>
              <w:rPr>
                <w:b w:val="0"/>
                <w:i w:val="0"/>
                <w:sz w:val="15"/>
              </w:rPr>
              <w:t>ComfortDelGro</w:t>
            </w:r>
          </w:p>
        </w:tc>
        <w:tc>
          <w:tcPr>
            <w:tcW w:type="dxa" w:w="662"/>
          </w:tcPr>
          <w:p>
            <w:pPr>
              <w:jc w:val="right"/>
            </w:pPr>
            <w:r>
              <w:rPr>
                <w:b w:val="0"/>
                <w:i w:val="0"/>
                <w:color w:val="1C5CAB"/>
                <w:sz w:val="15"/>
              </w:rPr>
              <w:t>+1.6%</w:t>
            </w:r>
          </w:p>
        </w:tc>
        <w:tc>
          <w:tcPr>
            <w:tcW w:type="dxa" w:w="792"/>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tcPr>
          <w:p>
            <w:r>
              <w:rPr>
                <w:b w:val="0"/>
                <w:i w:val="0"/>
                <w:sz w:val="15"/>
              </w:rPr>
              <w:t>Mostly neutral (36)</w:t>
            </w:r>
          </w:p>
        </w:tc>
        <w:tc>
          <w:tcPr>
            <w:tcW w:type="dxa" w:w="1872"/>
          </w:tcPr>
          <w:p>
            <w:r>
              <w:rPr>
                <w:b w:val="0"/>
                <w:i w:val="0"/>
                <w:sz w:val="15"/>
              </w:rPr>
              <w:t>Weekly down · Below range</w:t>
            </w:r>
          </w:p>
        </w:tc>
        <w:tc>
          <w:tcPr>
            <w:tcW w:type="dxa" w:w="1642"/>
          </w:tcPr>
          <w:p>
            <w:r>
              <w:rPr>
                <w:b w:val="0"/>
                <w:i w:val="0"/>
                <w:sz w:val="15"/>
              </w:rPr>
              <w:t>Moved without a signal</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(2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16–22 Sep.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9-22.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ST Engineering</w:t>
            </w:r>
            <w:r>
              <w:rPr>
                <w:b w:val="0"/>
                <w:i w:val="0"/>
                <w:color w:val="52514E"/>
                <w:sz w:val="17"/>
              </w:rPr>
              <w:t xml:space="preserve">   Industrials  ·  +5.5% over 16–22 Sep</w:t>
            </w:r>
          </w:p>
          <w:p>
            <w:pPr>
              <w:spacing w:after="10" w:line="240" w:lineRule="auto"/>
            </w:pPr>
            <w:r>
              <w:rPr>
                <w:b/>
                <w:i w:val="0"/>
                <w:color w:val="1A2E55"/>
                <w:sz w:val="16"/>
              </w:rPr>
              <w:t xml:space="preserve">In short (AI-written, checked)  </w:t>
            </w:r>
            <w:r>
              <w:rPr>
                <w:b w:val="0"/>
                <w:i w:val="0"/>
                <w:sz w:val="16"/>
              </w:rPr>
              <w:t>ST Engineering rose 5.5% over 16–22 Sep in the last five days, with its biggest single day of +2.9% on Tue 22 Sep. Today’s news was mostly positive but did not add a new signal, so the price move is not explained by fresh news. The forecast model expects a fall, but its record is only as good as a simple rule, so that forecast should be treated with caution.</w:t>
            </w:r>
          </w:p>
          <w:p>
            <w:pPr>
              <w:spacing w:after="10" w:line="240" w:lineRule="auto"/>
            </w:pPr>
            <w:r>
              <w:rPr>
                <w:b/>
                <w:i w:val="0"/>
                <w:color w:val="1A2E55"/>
                <w:sz w:val="16"/>
              </w:rPr>
              <w:t xml:space="preserve">What happened  </w:t>
            </w:r>
            <w:r>
              <w:rPr>
                <w:b w:val="0"/>
                <w:i w:val="0"/>
                <w:sz w:val="16"/>
              </w:rPr>
              <w:t>Rose 5.5% over 16–22 Sep; its biggest day was Tue 22 Sep (+2.9%). Today +2.9%.</w:t>
            </w:r>
          </w:p>
          <w:p>
            <w:pPr>
              <w:spacing w:after="10" w:line="240" w:lineRule="auto"/>
            </w:pPr>
            <w:r>
              <w:rPr>
                <w:b/>
                <w:i w:val="0"/>
                <w:color w:val="1A2E55"/>
                <w:sz w:val="16"/>
              </w:rPr>
              <w:t xml:space="preserve">Today: news vs price  </w:t>
            </w:r>
            <w:r>
              <w:rPr>
                <w:b w:val="0"/>
                <w:i w:val="0"/>
                <w:sz w:val="16"/>
              </w:rPr>
              <w:t>No news signal today (neutral reading); the price rose 2.9%, more than a normal day's ±0.6%: a move without a news signal. The forecast model still leans 'fall'. (Pattern: Model-only view.)</w:t>
            </w:r>
          </w:p>
          <w:p>
            <w:pPr>
              <w:spacing w:after="10" w:line="240" w:lineRule="auto"/>
            </w:pPr>
            <w:r>
              <w:rPr>
                <w:b/>
                <w:i w:val="0"/>
                <w:color w:val="1A2E55"/>
                <w:sz w:val="16"/>
              </w:rPr>
              <w:t xml:space="preserve">Last 5 days in context  </w:t>
            </w:r>
            <w:r>
              <w:rPr>
                <w:b w:val="0"/>
                <w:i w:val="0"/>
                <w:sz w:val="16"/>
              </w:rPr>
              <w:t>Company news collected today was mostly positive; the price rose 5.5% over 16–22 Sep, its 2 sector peers -1.0% on average, and the 15 stocks +0.5% on average. So the company news and the price point the same way.</w:t>
            </w:r>
          </w:p>
          <w:p>
            <w:pPr>
              <w:spacing w:after="10" w:line="240" w:lineRule="auto"/>
            </w:pPr>
            <w:r>
              <w:rPr>
                <w:b/>
                <w:i w:val="0"/>
                <w:color w:val="1A2E55"/>
                <w:sz w:val="16"/>
              </w:rPr>
              <w:t xml:space="preserve">News today  </w:t>
            </w:r>
            <w:r>
              <w:rPr>
                <w:b w:val="0"/>
                <w:i w:val="0"/>
                <w:sz w:val="16"/>
              </w:rPr>
              <w:t>43 articles collected today: 10 positive, 3 negative, 30 neutral (mostly positive). Event tags: dividend, earnings, merger or acquisition, management change.</w:t>
            </w:r>
          </w:p>
          <w:p>
            <w:pPr>
              <w:spacing w:after="10" w:line="240" w:lineRule="auto"/>
            </w:pPr>
            <w:r>
              <w:rPr>
                <w:b/>
                <w:i w:val="0"/>
                <w:color w:val="1A2E55"/>
                <w:sz w:val="16"/>
              </w:rPr>
              <w:t xml:space="preserve">Headlines  </w:t>
            </w:r>
            <w:r>
              <w:rPr>
                <w:b w:val="0"/>
                <w:i w:val="0"/>
                <w:sz w:val="16"/>
              </w:rPr>
              <w:t>+ “Goldman Sachs initiates coverage on ST Engineering; stock ends 2.4% up” (Business Times, 18 Sep)</w:t>
            </w:r>
          </w:p>
          <w:p>
            <w:pPr>
              <w:spacing w:after="10" w:line="240" w:lineRule="auto"/>
            </w:pPr>
            <w:r>
              <w:rPr>
                <w:b/>
                <w:i w:val="0"/>
                <w:color w:val="1A2E55"/>
                <w:sz w:val="16"/>
              </w:rPr>
              <w:t xml:space="preserve">Price chart  </w:t>
            </w:r>
            <w:r>
              <w:rPr>
                <w:b w:val="0"/>
                <w:i w:val="0"/>
                <w:sz w:val="16"/>
              </w:rPr>
              <w:t>RSI 49, between 30 and 70: no unusually fast move.</w:t>
            </w:r>
          </w:p>
          <w:p>
            <w:pPr>
              <w:spacing w:after="10" w:line="240" w:lineRule="auto"/>
            </w:pPr>
            <w:r>
              <w:rPr>
                <w:b/>
                <w:i w:val="0"/>
                <w:color w:val="1A2E55"/>
                <w:sz w:val="16"/>
              </w:rPr>
              <w:t xml:space="preserve">News &amp; signals reading  </w:t>
            </w:r>
            <w:r>
              <w:rPr>
                <w:b w:val="0"/>
                <w:i w:val="0"/>
                <w:sz w:val="16"/>
              </w:rPr>
              <w:t>Neutral today (score +0.30; positive above +0.35, negative below −0.35), and on all 3 earlier recorded days. The rules for and against did not add up to a clear reading.</w:t>
            </w:r>
          </w:p>
          <w:p>
            <w:pPr>
              <w:spacing w:after="10" w:line="240" w:lineRule="auto"/>
            </w:pPr>
            <w:r>
              <w:rPr>
                <w:b/>
                <w:i w:val="0"/>
                <w:color w:val="1A2E55"/>
                <w:sz w:val="16"/>
              </w:rPr>
              <w:t xml:space="preserve">Rules behind the reading  </w:t>
            </w:r>
            <w:r>
              <w:rPr>
                <w:b w:val="0"/>
                <w:i w:val="0"/>
                <w:sz w:val="16"/>
              </w:rPr>
              <w:t>Up: positive company news +0.18. Market-wide: calm market +0.21, ETF options negative −0.10, political news +0.01 (unreliable, section 5).</w:t>
            </w:r>
          </w:p>
          <w:p>
            <w:pPr>
              <w:spacing w:after="10" w:line="240" w:lineRule="auto"/>
            </w:pPr>
            <w:r>
              <w:rPr>
                <w:b/>
                <w:i w:val="0"/>
                <w:color w:val="1A2E55"/>
                <w:sz w:val="16"/>
              </w:rPr>
              <w:t xml:space="preserve">Forecast lean  </w:t>
            </w:r>
            <w:r>
              <w:rPr>
                <w:b w:val="0"/>
                <w:i w:val="0"/>
                <w:sz w:val="16"/>
              </w:rPr>
              <w:t>Fall over the next 3 trading days (chance 58%); its normal 3-day swing is ±2.1%. Past record on this stock: ✓, but rise-or-fall calls marked ✓ were right only 22%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Singtel</w:t>
            </w:r>
            <w:r>
              <w:rPr>
                <w:b w:val="0"/>
                <w:i w:val="0"/>
                <w:color w:val="52514E"/>
                <w:sz w:val="17"/>
              </w:rPr>
              <w:t xml:space="preserve">   Telecommunications  ·  -2.9% over 16–22 Sep</w:t>
            </w:r>
          </w:p>
          <w:p>
            <w:pPr>
              <w:spacing w:after="10" w:line="240" w:lineRule="auto"/>
            </w:pPr>
            <w:r>
              <w:rPr>
                <w:b/>
                <w:i w:val="0"/>
                <w:color w:val="1A2E55"/>
                <w:sz w:val="16"/>
              </w:rPr>
              <w:t xml:space="preserve">What happened  </w:t>
            </w:r>
            <w:r>
              <w:rPr>
                <w:b w:val="0"/>
                <w:i w:val="0"/>
                <w:sz w:val="16"/>
              </w:rPr>
              <w:t>Fell 2.9% over 16–22 Sep; its biggest day was Fri 18 Sep (-1.6%). Today -0.2%.</w:t>
            </w:r>
          </w:p>
          <w:p>
            <w:pPr>
              <w:spacing w:after="10" w:line="240" w:lineRule="auto"/>
            </w:pPr>
            <w:r>
              <w:rPr>
                <w:b/>
                <w:i w:val="0"/>
                <w:color w:val="1A2E55"/>
                <w:sz w:val="16"/>
              </w:rPr>
              <w:t xml:space="preserve">Today: news vs price  </w:t>
            </w:r>
            <w:r>
              <w:rPr>
                <w:b w:val="0"/>
                <w:i w:val="0"/>
                <w:sz w:val="16"/>
              </w:rPr>
              <w:t>No news signal today (neutral reading); the price fell 0.2%. The forecast model still leans 'fall'. (Pattern: Model-only view.)</w:t>
            </w:r>
          </w:p>
          <w:p>
            <w:pPr>
              <w:spacing w:after="10" w:line="240" w:lineRule="auto"/>
            </w:pPr>
            <w:r>
              <w:rPr>
                <w:b/>
                <w:i w:val="0"/>
                <w:color w:val="1A2E55"/>
                <w:sz w:val="16"/>
              </w:rPr>
              <w:t xml:space="preserve">Last 5 days in context  </w:t>
            </w:r>
            <w:r>
              <w:rPr>
                <w:b w:val="0"/>
                <w:i w:val="0"/>
                <w:sz w:val="16"/>
              </w:rPr>
              <w:t>Company news collected today was mixed; the price fell 2.9% over 16–22 Sep, against +0.5% for the 15 stocks on average. So there is no company story in the news, and the stock moved against the market; sector or wider news, outside this report's sources, is the place to look.</w:t>
            </w:r>
          </w:p>
          <w:p>
            <w:pPr>
              <w:spacing w:after="10" w:line="240" w:lineRule="auto"/>
            </w:pPr>
            <w:r>
              <w:rPr>
                <w:b/>
                <w:i w:val="0"/>
                <w:color w:val="1A2E55"/>
                <w:sz w:val="16"/>
              </w:rPr>
              <w:t xml:space="preserve">News today  </w:t>
            </w:r>
            <w:r>
              <w:rPr>
                <w:b w:val="0"/>
                <w:i w:val="0"/>
                <w:sz w:val="16"/>
              </w:rPr>
              <w:t>50 articles collected today: 8 positive, 7 negative, 35 neutral (mixed). Event tags: dividend, earnings, merger or acquisition, management change.</w:t>
            </w:r>
          </w:p>
          <w:p>
            <w:pPr>
              <w:spacing w:after="10" w:line="240" w:lineRule="auto"/>
            </w:pPr>
            <w:r>
              <w:rPr>
                <w:b/>
                <w:i w:val="0"/>
                <w:color w:val="1A2E55"/>
                <w:sz w:val="16"/>
              </w:rPr>
              <w:t xml:space="preserve">Price chart  </w:t>
            </w:r>
            <w:r>
              <w:rPr>
                <w:b w:val="0"/>
                <w:i w:val="0"/>
                <w:sz w:val="16"/>
              </w:rPr>
              <w:t>RSI 37, between 30 and 70: no unusually fast move; price below its usual range (Bollinger band).</w:t>
            </w:r>
          </w:p>
          <w:p>
            <w:pPr>
              <w:spacing w:after="10" w:line="240" w:lineRule="auto"/>
            </w:pPr>
            <w:r>
              <w:rPr>
                <w:b/>
                <w:i w:val="0"/>
                <w:color w:val="1A2E55"/>
                <w:sz w:val="16"/>
              </w:rPr>
              <w:t xml:space="preserve">News &amp; signals reading  </w:t>
            </w:r>
            <w:r>
              <w:rPr>
                <w:b w:val="0"/>
                <w:i w:val="0"/>
                <w:sz w:val="16"/>
              </w:rPr>
              <w:t>Neutral today (score +0.28; positive above +0.35, negative below −0.35), and on all 3 earlier recorded days. The rules for and against did not add up to a clear reading.</w:t>
            </w:r>
          </w:p>
          <w:p>
            <w:pPr>
              <w:spacing w:after="10" w:line="240" w:lineRule="auto"/>
            </w:pPr>
            <w:r>
              <w:rPr>
                <w:b/>
                <w:i w:val="0"/>
                <w:color w:val="1A2E55"/>
                <w:sz w:val="16"/>
              </w:rPr>
              <w:t xml:space="preserve">Rules behind the reading  </w:t>
            </w:r>
            <w:r>
              <w:rPr>
                <w:b w:val="0"/>
                <w:i w:val="0"/>
                <w:sz w:val="16"/>
              </w:rPr>
              <w:t>Up: more event news +0.20. Down: below usual range −0.04. Market-wide: calm market +0.21,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Despite a number of negative signals such as elevated political news volume, options market negative positioning, and the price trading below the lower Bollinger band, the overall outlook remains neutral. Positive drivers include a positive geopolitical backdrop, a Risk‑On macro regime, and unusual positive corporate event activity, all of which are reflected in the rule‑based analysis and the ML-model contributions. Higher news coverage volume and a VIX of 14.87 further support a cautious stance. Recent headlines – for example, Singapore shares dragged by Singtel and the Middle East war driving oil prices to a 10‑day low – add downside pressure, but the models still converge on a neutral view, though the linear model leans negative while the random forest remains neutral.</w:t>
            </w:r>
          </w:p>
          <w:p>
            <w:pPr>
              <w:spacing w:after="10" w:line="240" w:lineRule="auto"/>
            </w:pPr>
            <w:r>
              <w:rPr>
                <w:b/>
                <w:i w:val="0"/>
                <w:color w:val="1A2E55"/>
                <w:sz w:val="16"/>
              </w:rPr>
              <w:t xml:space="preserve">Forecast lean  </w:t>
            </w:r>
            <w:r>
              <w:rPr>
                <w:b w:val="0"/>
                <w:i w:val="0"/>
                <w:sz w:val="16"/>
              </w:rPr>
              <w:t>Fall over the next 3 trading days (chance 98%); its normal 3-day swing is ±1.4%. Past record on this stock: ✓, but rise-or-fall calls marked ✓ were right only 22%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SGX Group</w:t>
            </w:r>
            <w:r>
              <w:rPr>
                <w:b w:val="0"/>
                <w:i w:val="0"/>
                <w:color w:val="52514E"/>
                <w:sz w:val="17"/>
              </w:rPr>
              <w:t xml:space="preserve">   Financial Services  ·  +1.9% over 16–22 Sep</w:t>
            </w:r>
          </w:p>
          <w:p>
            <w:pPr>
              <w:spacing w:after="10" w:line="240" w:lineRule="auto"/>
            </w:pPr>
            <w:r>
              <w:rPr>
                <w:b/>
                <w:i w:val="0"/>
                <w:color w:val="1A2E55"/>
                <w:sz w:val="16"/>
              </w:rPr>
              <w:t xml:space="preserve">What happened  </w:t>
            </w:r>
            <w:r>
              <w:rPr>
                <w:b w:val="0"/>
                <w:i w:val="0"/>
                <w:sz w:val="16"/>
              </w:rPr>
              <w:t>Rose 1.9% over 16–22 Sep, including +2.9% on Tue 22 Sep. Today +2.9%.</w:t>
            </w:r>
          </w:p>
          <w:p>
            <w:pPr>
              <w:spacing w:after="10" w:line="240" w:lineRule="auto"/>
            </w:pPr>
            <w:r>
              <w:rPr>
                <w:b/>
                <w:i w:val="0"/>
                <w:color w:val="1A2E55"/>
                <w:sz w:val="16"/>
              </w:rPr>
              <w:t xml:space="preserve">Today: news vs price  </w:t>
            </w:r>
            <w:r>
              <w:rPr>
                <w:b w:val="0"/>
                <w:i w:val="0"/>
                <w:sz w:val="16"/>
              </w:rPr>
              <w:t>Positive reading and the price rose 2.9%, more than a normal day's ±0.6%: the news already shows in the price. The forecast model expects a pullback. (Pattern: Mean reversion.)</w:t>
            </w:r>
          </w:p>
          <w:p>
            <w:pPr>
              <w:spacing w:after="10" w:line="240" w:lineRule="auto"/>
            </w:pPr>
            <w:r>
              <w:rPr>
                <w:b/>
                <w:i w:val="0"/>
                <w:color w:val="1A2E55"/>
                <w:sz w:val="16"/>
              </w:rPr>
              <w:t xml:space="preserve">Last 5 days in context  </w:t>
            </w:r>
            <w:r>
              <w:rPr>
                <w:b w:val="0"/>
                <w:i w:val="0"/>
                <w:sz w:val="16"/>
              </w:rPr>
              <w:t>Company news collected today was mostly positive; the price rose 1.9% over 16–22 Sep, against +0.5% for the 15 stocks on average. So the company news and the price point the same way.</w:t>
            </w:r>
          </w:p>
          <w:p>
            <w:pPr>
              <w:spacing w:after="10" w:line="240" w:lineRule="auto"/>
            </w:pPr>
            <w:r>
              <w:rPr>
                <w:b/>
                <w:i w:val="0"/>
                <w:color w:val="1A2E55"/>
                <w:sz w:val="16"/>
              </w:rPr>
              <w:t xml:space="preserve">News today  </w:t>
            </w:r>
            <w:r>
              <w:rPr>
                <w:b w:val="0"/>
                <w:i w:val="0"/>
                <w:sz w:val="16"/>
              </w:rPr>
              <w:t>50 articles collected today: 13 positive, 2 negative, 35 neutral (mostly positive). Event tags: dividend, earnings, merger or acquisition, upgrade.</w:t>
            </w:r>
          </w:p>
          <w:p>
            <w:pPr>
              <w:spacing w:after="10" w:line="240" w:lineRule="auto"/>
            </w:pPr>
            <w:r>
              <w:rPr>
                <w:b/>
                <w:i w:val="0"/>
                <w:color w:val="1A2E55"/>
                <w:sz w:val="16"/>
              </w:rPr>
              <w:t xml:space="preserve">Price chart  </w:t>
            </w:r>
            <w:r>
              <w:rPr>
                <w:b w:val="0"/>
                <w:i w:val="0"/>
                <w:sz w:val="16"/>
              </w:rPr>
              <w:t>RSI 25, below 30: the price fell fast ('oversold').</w:t>
            </w:r>
          </w:p>
          <w:p>
            <w:pPr>
              <w:spacing w:after="10" w:line="240" w:lineRule="auto"/>
            </w:pPr>
            <w:r>
              <w:rPr>
                <w:b/>
                <w:i w:val="0"/>
                <w:color w:val="1A2E55"/>
                <w:sz w:val="16"/>
              </w:rPr>
              <w:t xml:space="preserve">News &amp; signals reading  </w:t>
            </w:r>
            <w:r>
              <w:rPr>
                <w:b w:val="0"/>
                <w:i w:val="0"/>
                <w:sz w:val="16"/>
              </w:rPr>
              <w:t>Positive today (score +0.88; positive above +0.35, negative below −0.35), and on all 3 earlier recorded days. No single rule decides it.</w:t>
            </w:r>
          </w:p>
          <w:p>
            <w:pPr>
              <w:spacing w:after="10" w:line="240" w:lineRule="auto"/>
            </w:pPr>
            <w:r>
              <w:rPr>
                <w:b/>
                <w:i w:val="0"/>
                <w:color w:val="1A2E55"/>
                <w:sz w:val="16"/>
              </w:rPr>
              <w:t xml:space="preserve">Rules behind the reading  </w:t>
            </w:r>
            <w:r>
              <w:rPr>
                <w:b w:val="0"/>
                <w:i w:val="0"/>
                <w:sz w:val="16"/>
              </w:rPr>
              <w:t>Up: RSI oversold +0.38, more event news +0.20, positive company news +0.18. Market-wide: calm market +0.21,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SGX remains positive on the back of strong earnings and a risk‑on macro regime, with headlines such as "SGX 1HFY2026 adjusted earnings up 11.6% to $357.1 mil" and "High-return SGX small- and mid-caps fetch higher valuations in 7M 2026" underscoring momentum. The RSI oversold signal and positive corporate event activity further support a potential bounce. However, elevated political news volume and a negative political tone—highlighted by the headline "Middle East War: Oil prices drop to their lowest in 10 days"—introduce caution, and options market negative positioning adds to the risk profile.</w:t>
            </w:r>
          </w:p>
          <w:p>
            <w:pPr>
              <w:spacing w:after="10" w:line="240" w:lineRule="auto"/>
            </w:pPr>
            <w:r>
              <w:rPr>
                <w:b/>
                <w:i w:val="0"/>
                <w:color w:val="1A2E55"/>
                <w:sz w:val="16"/>
              </w:rPr>
              <w:t xml:space="preserve">Forecast lean  </w:t>
            </w:r>
            <w:r>
              <w:rPr>
                <w:b w:val="0"/>
                <w:i w:val="0"/>
                <w:sz w:val="16"/>
              </w:rPr>
              <w:t>Fall over the next 3 trading days (chance 63%); its normal 3-day swing is ±2.9%. Past record on this stock: below a simple rule (✗), so this call carries no weight.</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±1.0%</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84%</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Ascendas REIT</w:t>
            </w:r>
          </w:p>
        </w:tc>
        <w:tc>
          <w:tcPr>
            <w:tcW w:type="dxa" w:w="1368"/>
            <w:shd w:val="clear" w:color="auto" w:fill="F7F7F5"/>
          </w:tcPr>
          <w:p>
            <w:pPr>
              <w:keepNext/>
              <w:jc w:val="right"/>
            </w:pPr>
            <w:r>
              <w:rPr>
                <w:b w:val="0"/>
                <w:i w:val="0"/>
                <w:sz w:val="16"/>
              </w:rPr>
              <w:t>±1.1%</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74%</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CapitaLand Integ. Comm. Trust</w:t>
            </w:r>
          </w:p>
        </w:tc>
        <w:tc>
          <w:tcPr>
            <w:tcW w:type="dxa" w:w="1368"/>
          </w:tcPr>
          <w:p>
            <w:pPr>
              <w:keepNext/>
              <w:jc w:val="right"/>
            </w:pPr>
            <w:r>
              <w:rPr>
                <w:b w:val="0"/>
                <w:i w:val="0"/>
                <w:sz w:val="16"/>
              </w:rPr>
              <w:t>±1.2%</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75%</w:t>
            </w:r>
          </w:p>
        </w:tc>
        <w:tc>
          <w:tcPr>
            <w:tcW w:type="dxa" w:w="2016"/>
            <w:shd w:val="clear" w:color="auto" w:fill="FBE1E0"/>
          </w:tcPr>
          <w:p>
            <w:pPr>
              <w:keepNext/>
            </w:pPr>
            <w:r>
              <w:rPr>
                <w:b/>
                <w:i w:val="0"/>
                <w:color w:val="A12D2C"/>
                <w:sz w:val="16"/>
              </w:rPr>
              <w:t>−20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±1.3%</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78%</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DBS Group</w:t>
            </w:r>
          </w:p>
        </w:tc>
        <w:tc>
          <w:tcPr>
            <w:tcW w:type="dxa" w:w="1368"/>
          </w:tcPr>
          <w:p>
            <w:pPr>
              <w:keepNext/>
              <w:jc w:val="right"/>
            </w:pPr>
            <w:r>
              <w:rPr>
                <w:b w:val="0"/>
                <w:i w:val="0"/>
                <w:sz w:val="16"/>
              </w:rPr>
              <w:t>±1.3%</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89%</w:t>
            </w:r>
          </w:p>
        </w:tc>
        <w:tc>
          <w:tcPr>
            <w:tcW w:type="dxa" w:w="2016"/>
            <w:shd w:val="clear" w:color="auto" w:fill="FBE1E0"/>
          </w:tcPr>
          <w:p>
            <w:pPr>
              <w:keepNext/>
            </w:pPr>
            <w:r>
              <w:rPr>
                <w:b/>
                <w:i w:val="0"/>
                <w:color w:val="A12D2C"/>
                <w:sz w:val="16"/>
              </w:rPr>
              <w:t>−40 pts ✗</w:t>
            </w:r>
          </w:p>
        </w:tc>
      </w:tr>
      <w:tr>
        <w:tc>
          <w:tcPr>
            <w:tcW w:type="dxa" w:w="2664"/>
            <w:shd w:val="clear" w:color="auto" w:fill="F7F7F5"/>
          </w:tcPr>
          <w:p>
            <w:pPr>
              <w:keepNext/>
            </w:pPr>
            <w:r>
              <w:rPr>
                <w:b w:val="0"/>
                <w:i w:val="0"/>
                <w:sz w:val="16"/>
              </w:rPr>
              <w:t>Singtel</w:t>
            </w:r>
          </w:p>
        </w:tc>
        <w:tc>
          <w:tcPr>
            <w:tcW w:type="dxa" w:w="1368"/>
            <w:shd w:val="clear" w:color="auto" w:fill="F7F7F5"/>
          </w:tcPr>
          <w:p>
            <w:pPr>
              <w:keepNext/>
              <w:jc w:val="right"/>
            </w:pPr>
            <w:r>
              <w:rPr>
                <w:b w:val="0"/>
                <w:i w:val="0"/>
                <w:sz w:val="16"/>
              </w:rPr>
              <w:t>±1.4%</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98%</w:t>
            </w:r>
          </w:p>
        </w:tc>
        <w:tc>
          <w:tcPr>
            <w:tcW w:type="dxa" w:w="2016"/>
            <w:shd w:val="clear" w:color="auto" w:fill="E4F3E4"/>
          </w:tcPr>
          <w:p>
            <w:pPr>
              <w:keepNext/>
            </w:pPr>
            <w:r>
              <w:rPr>
                <w:b/>
                <w:i w:val="0"/>
                <w:color w:val="0A6E0A"/>
                <w:sz w:val="16"/>
              </w:rPr>
              <w:t>+13 pts ✓</w:t>
            </w:r>
          </w:p>
        </w:tc>
      </w:tr>
      <w:tr>
        <w:tc>
          <w:tcPr>
            <w:tcW w:type="dxa" w:w="2664"/>
          </w:tcPr>
          <w:p>
            <w:pPr>
              <w:keepNext/>
            </w:pPr>
            <w:r>
              <w:rPr>
                <w:b w:val="0"/>
                <w:i w:val="0"/>
                <w:sz w:val="16"/>
              </w:rPr>
              <w:t>ComfortDelGro</w:t>
            </w:r>
          </w:p>
        </w:tc>
        <w:tc>
          <w:tcPr>
            <w:tcW w:type="dxa" w:w="1368"/>
          </w:tcPr>
          <w:p>
            <w:pPr>
              <w:keepNext/>
              <w:jc w:val="right"/>
            </w:pPr>
            <w:r>
              <w:rPr>
                <w:b w:val="0"/>
                <w:i w:val="0"/>
                <w:sz w:val="16"/>
              </w:rPr>
              <w:t>±1.4%</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78%</w:t>
            </w:r>
          </w:p>
        </w:tc>
        <w:tc>
          <w:tcPr>
            <w:tcW w:type="dxa" w:w="2016"/>
            <w:shd w:val="clear" w:color="auto" w:fill="FBE1E0"/>
          </w:tcPr>
          <w:p>
            <w:pPr>
              <w:keepNext/>
            </w:pPr>
            <w:r>
              <w:rPr>
                <w:b/>
                <w:i w:val="0"/>
                <w:color w:val="A12D2C"/>
                <w:sz w:val="16"/>
              </w:rPr>
              <w:t>−33 pts ✗</w:t>
            </w:r>
          </w:p>
        </w:tc>
      </w:tr>
      <w:tr>
        <w:tc>
          <w:tcPr>
            <w:tcW w:type="dxa" w:w="2664"/>
            <w:shd w:val="clear" w:color="auto" w:fill="F7F7F5"/>
          </w:tcPr>
          <w:p>
            <w:pPr>
              <w:keepNext/>
            </w:pPr>
            <w:r>
              <w:rPr>
                <w:b w:val="0"/>
                <w:i w:val="0"/>
                <w:sz w:val="16"/>
              </w:rPr>
              <w:t>Mapletree Pan Asia Comm. Trust</w:t>
            </w:r>
          </w:p>
        </w:tc>
        <w:tc>
          <w:tcPr>
            <w:tcW w:type="dxa" w:w="1368"/>
            <w:shd w:val="clear" w:color="auto" w:fill="F7F7F5"/>
          </w:tcPr>
          <w:p>
            <w:pPr>
              <w:keepNext/>
              <w:jc w:val="right"/>
            </w:pPr>
            <w:r>
              <w:rPr>
                <w:b w:val="0"/>
                <w:i w:val="0"/>
                <w:sz w:val="16"/>
              </w:rPr>
              <w:t>±1.5%</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89%</w:t>
            </w:r>
          </w:p>
        </w:tc>
        <w:tc>
          <w:tcPr>
            <w:tcW w:type="dxa" w:w="2016"/>
            <w:shd w:val="clear" w:color="auto" w:fill="FBE1E0"/>
          </w:tcPr>
          <w:p>
            <w:pPr>
              <w:keepNext/>
            </w:pPr>
            <w:r>
              <w:rPr>
                <w:b/>
                <w:i w:val="0"/>
                <w:color w:val="A12D2C"/>
                <w:sz w:val="16"/>
              </w:rPr>
              <w:t>−13 pts ✗</w:t>
            </w:r>
          </w:p>
        </w:tc>
      </w:tr>
      <w:tr>
        <w:tc>
          <w:tcPr>
            <w:tcW w:type="dxa" w:w="2664"/>
          </w:tcPr>
          <w:p>
            <w:pPr>
              <w:keepNext/>
            </w:pPr>
            <w:r>
              <w:rPr>
                <w:b w:val="0"/>
                <w:i w:val="0"/>
                <w:sz w:val="16"/>
              </w:rPr>
              <w:t>Wilmar Intl</w:t>
            </w:r>
          </w:p>
        </w:tc>
        <w:tc>
          <w:tcPr>
            <w:tcW w:type="dxa" w:w="1368"/>
          </w:tcPr>
          <w:p>
            <w:pPr>
              <w:keepNext/>
              <w:jc w:val="right"/>
            </w:pPr>
            <w:r>
              <w:rPr>
                <w:b w:val="0"/>
                <w:i w:val="0"/>
                <w:sz w:val="16"/>
              </w:rPr>
              <w:t>±1.7%</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89%</w:t>
            </w:r>
          </w:p>
        </w:tc>
        <w:tc>
          <w:tcPr>
            <w:tcW w:type="dxa" w:w="2016"/>
            <w:shd w:val="clear" w:color="auto" w:fill="E4F3E4"/>
          </w:tcPr>
          <w:p>
            <w:pPr>
              <w:keepNext/>
            </w:pPr>
            <w:r>
              <w:rPr>
                <w:b/>
                <w:i w:val="0"/>
                <w:color w:val="0A6E0A"/>
                <w:sz w:val="16"/>
              </w:rPr>
              <w:t>+7 pts ✓</w:t>
            </w:r>
          </w:p>
        </w:tc>
      </w:tr>
      <w:tr>
        <w:tc>
          <w:tcPr>
            <w:tcW w:type="dxa" w:w="2664"/>
            <w:shd w:val="clear" w:color="auto" w:fill="F7F7F5"/>
          </w:tcPr>
          <w:p>
            <w:pPr>
              <w:keepNext/>
            </w:pPr>
            <w:r>
              <w:rPr>
                <w:b w:val="0"/>
                <w:i w:val="0"/>
                <w:sz w:val="16"/>
              </w:rPr>
              <w:t>Keppel Corp</w:t>
            </w:r>
          </w:p>
        </w:tc>
        <w:tc>
          <w:tcPr>
            <w:tcW w:type="dxa" w:w="1368"/>
            <w:shd w:val="clear" w:color="auto" w:fill="F7F7F5"/>
          </w:tcPr>
          <w:p>
            <w:pPr>
              <w:keepNext/>
              <w:jc w:val="right"/>
            </w:pPr>
            <w:r>
              <w:rPr>
                <w:b w:val="0"/>
                <w:i w:val="0"/>
                <w:sz w:val="16"/>
              </w:rPr>
              <w:t>±1.8%</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95%</w:t>
            </w:r>
          </w:p>
        </w:tc>
        <w:tc>
          <w:tcPr>
            <w:tcW w:type="dxa" w:w="2016"/>
            <w:shd w:val="clear" w:color="auto" w:fill="FBE1E0"/>
          </w:tcPr>
          <w:p>
            <w:pPr>
              <w:keepNext/>
            </w:pPr>
            <w:r>
              <w:rPr>
                <w:b/>
                <w:i w:val="0"/>
                <w:color w:val="A12D2C"/>
                <w:sz w:val="16"/>
              </w:rPr>
              <w:t>−7 pts ✗</w:t>
            </w:r>
          </w:p>
        </w:tc>
      </w:tr>
      <w:tr>
        <w:tc>
          <w:tcPr>
            <w:tcW w:type="dxa" w:w="2664"/>
          </w:tcPr>
          <w:p>
            <w:pPr>
              <w:keepNext/>
            </w:pPr>
            <w:r>
              <w:rPr>
                <w:b w:val="0"/>
                <w:i w:val="0"/>
                <w:sz w:val="16"/>
              </w:rPr>
              <w:t>Sembcorp Industries</w:t>
            </w:r>
          </w:p>
        </w:tc>
        <w:tc>
          <w:tcPr>
            <w:tcW w:type="dxa" w:w="1368"/>
          </w:tcPr>
          <w:p>
            <w:pPr>
              <w:keepNext/>
              <w:jc w:val="right"/>
            </w:pPr>
            <w:r>
              <w:rPr>
                <w:b w:val="0"/>
                <w:i w:val="0"/>
                <w:sz w:val="16"/>
              </w:rPr>
              <w:t>±1.9%</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97%</w:t>
            </w:r>
          </w:p>
        </w:tc>
        <w:tc>
          <w:tcPr>
            <w:tcW w:type="dxa" w:w="2016"/>
            <w:shd w:val="clear" w:color="auto" w:fill="E4F3E4"/>
          </w:tcPr>
          <w:p>
            <w:pPr>
              <w:keepNext/>
            </w:pPr>
            <w:r>
              <w:rPr>
                <w:b/>
                <w:i w:val="0"/>
                <w:color w:val="0A6E0A"/>
                <w:sz w:val="16"/>
              </w:rPr>
              <w:t>+13 pts ✓</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±2.0%</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97%</w:t>
            </w:r>
          </w:p>
        </w:tc>
        <w:tc>
          <w:tcPr>
            <w:tcW w:type="dxa" w:w="2016"/>
            <w:shd w:val="clear" w:color="auto" w:fill="FBE1E0"/>
          </w:tcPr>
          <w:p>
            <w:pPr>
              <w:keepNext/>
            </w:pPr>
            <w:r>
              <w:rPr>
                <w:b/>
                <w:i w:val="0"/>
                <w:color w:val="A12D2C"/>
                <w:sz w:val="16"/>
              </w:rPr>
              <w:t>−13 pts ✗</w:t>
            </w:r>
          </w:p>
        </w:tc>
      </w:tr>
      <w:tr>
        <w:tc>
          <w:tcPr>
            <w:tcW w:type="dxa" w:w="2664"/>
          </w:tcPr>
          <w:p>
            <w:pPr>
              <w:keepNext/>
            </w:pPr>
            <w:r>
              <w:rPr>
                <w:b w:val="0"/>
                <w:i w:val="0"/>
                <w:sz w:val="16"/>
              </w:rPr>
              <w:t>UOB</w:t>
            </w:r>
          </w:p>
        </w:tc>
        <w:tc>
          <w:tcPr>
            <w:tcW w:type="dxa" w:w="1368"/>
          </w:tcPr>
          <w:p>
            <w:pPr>
              <w:keepNext/>
              <w:jc w:val="right"/>
            </w:pPr>
            <w:r>
              <w:rPr>
                <w:b w:val="0"/>
                <w:i w:val="0"/>
                <w:sz w:val="16"/>
              </w:rPr>
              <w:t>±2.0%</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94%</w:t>
            </w:r>
          </w:p>
        </w:tc>
        <w:tc>
          <w:tcPr>
            <w:tcW w:type="dxa" w:w="2016"/>
            <w:shd w:val="clear" w:color="auto" w:fill="FBE1E0"/>
          </w:tcPr>
          <w:p>
            <w:pPr>
              <w:keepNext/>
            </w:pPr>
            <w:r>
              <w:rPr>
                <w:b/>
                <w:i w:val="0"/>
                <w:color w:val="A12D2C"/>
                <w:sz w:val="16"/>
              </w:rPr>
              <w:t>−13 pts ✗</w:t>
            </w:r>
          </w:p>
        </w:tc>
      </w:tr>
      <w:tr>
        <w:tc>
          <w:tcPr>
            <w:tcW w:type="dxa" w:w="2664"/>
            <w:shd w:val="clear" w:color="auto" w:fill="F7F7F5"/>
          </w:tcPr>
          <w:p>
            <w:pPr>
              <w:keepNext/>
            </w:pPr>
            <w:r>
              <w:rPr>
                <w:b w:val="0"/>
                <w:i w:val="0"/>
                <w:sz w:val="16"/>
              </w:rPr>
              <w:t>ST Engineering</w:t>
            </w:r>
          </w:p>
        </w:tc>
        <w:tc>
          <w:tcPr>
            <w:tcW w:type="dxa" w:w="1368"/>
            <w:shd w:val="clear" w:color="auto" w:fill="F7F7F5"/>
          </w:tcPr>
          <w:p>
            <w:pPr>
              <w:keepNext/>
              <w:jc w:val="right"/>
            </w:pPr>
            <w:r>
              <w:rPr>
                <w:b w:val="0"/>
                <w:i w:val="0"/>
                <w:sz w:val="16"/>
              </w:rPr>
              <w:t>±2.1%</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58%</w:t>
            </w:r>
          </w:p>
        </w:tc>
        <w:tc>
          <w:tcPr>
            <w:tcW w:type="dxa" w:w="2016"/>
            <w:shd w:val="clear" w:color="auto" w:fill="E4F3E4"/>
          </w:tcPr>
          <w:p>
            <w:pPr>
              <w:keepNext/>
            </w:pPr>
            <w:r>
              <w:rPr>
                <w:b/>
                <w:i w:val="0"/>
                <w:color w:val="0A6E0A"/>
                <w:sz w:val="16"/>
              </w:rPr>
              <w:t>±0 pts ✓</w:t>
            </w:r>
          </w:p>
        </w:tc>
      </w:tr>
      <w:tr>
        <w:tc>
          <w:tcPr>
            <w:tcW w:type="dxa" w:w="2664"/>
          </w:tcPr>
          <w:p>
            <w:r>
              <w:rPr>
                <w:b w:val="0"/>
                <w:i w:val="0"/>
                <w:sz w:val="16"/>
              </w:rPr>
              <w:t>SGX Group</w:t>
            </w:r>
          </w:p>
        </w:tc>
        <w:tc>
          <w:tcPr>
            <w:tcW w:type="dxa" w:w="1368"/>
          </w:tcPr>
          <w:p>
            <w:pPr>
              <w:jc w:val="right"/>
            </w:pPr>
            <w:r>
              <w:rPr>
                <w:b w:val="0"/>
                <w:i w:val="0"/>
                <w:sz w:val="16"/>
              </w:rPr>
              <w:t>±2.9%</w:t>
            </w:r>
          </w:p>
        </w:tc>
        <w:tc>
          <w:tcPr>
            <w:tcW w:type="dxa" w:w="1440"/>
          </w:tcPr>
          <w:p>
            <w:r>
              <w:rPr>
                <w:b w:val="0"/>
                <w:i w:val="0"/>
                <w:sz w:val="16"/>
              </w:rPr>
            </w:r>
          </w:p>
        </w:tc>
        <w:tc>
          <w:tcPr>
            <w:tcW w:type="dxa" w:w="1440"/>
          </w:tcPr>
          <w:p>
            <w:r>
              <w:rPr>
                <w:b w:val="0"/>
                <w:i w:val="0"/>
                <w:color w:val="A12D2C"/>
                <w:sz w:val="16"/>
              </w:rPr>
              <w:t>Fall</w:t>
            </w:r>
          </w:p>
        </w:tc>
        <w:tc>
          <w:tcPr>
            <w:tcW w:type="dxa" w:w="1008"/>
          </w:tcPr>
          <w:p>
            <w:pPr>
              <w:jc w:val="right"/>
            </w:pPr>
            <w:r>
              <w:rPr>
                <w:b w:val="0"/>
                <w:i w:val="0"/>
                <w:sz w:val="16"/>
              </w:rPr>
              <w:t>63%</w:t>
            </w:r>
          </w:p>
        </w:tc>
        <w:tc>
          <w:tcPr>
            <w:tcW w:type="dxa" w:w="2016"/>
            <w:shd w:val="clear" w:color="auto" w:fill="FBE1E0"/>
          </w:tcPr>
          <w:p>
            <w:r>
              <w:rPr>
                <w:b/>
                <w:i w:val="0"/>
                <w:color w:val="A12D2C"/>
                <w:sz w:val="16"/>
              </w:rPr>
              <w:t>−20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Sembcorp Industries, Keppel Corp, Mapletree Pan Asia Comm. Trust, Wilmar Intl and Mapletree Industrial: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40% of 285 past calls, against 53% for always guessing 'no big move'. Calls marked ✓ were right 46%, the rest 35%, but the gain is in 'no big move' calls (58% right); ✓ rise-or-fall calls were right only 22% of 46, so a ✓ never makes a direction likely. Before its probabilities were refitted, chances of 90% or more were right only 38% of the time.</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521 company news articles (each read as positive, negative or neutral by FinBERT, a finance language model) and 72 political articles; price-chart indicators (RSI, MACD, Bollinger bands, VWAP, weekly trend); the market backdrop (VIX 14.9, US yield spread); Singapore ETF options positioning (put/call 1.52).</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Quiet (7)</w:t>
            </w:r>
          </w:p>
        </w:tc>
        <w:tc>
          <w:tcPr>
            <w:tcW w:type="dxa" w:w="3312"/>
          </w:tcPr>
          <w:p>
            <w:r>
              <w:rPr>
                <w:b w:val="0"/>
                <w:i w:val="0"/>
                <w:sz w:val="15"/>
              </w:rPr>
              <w:t>CapitaLand Integ. Comm. Trust, Mapletree Pan Asia Comm. Trust, Mapletree Industrial, Keppel Corp, Sembcorp Industries, Wilmar Intl, Raffles Medical Group</w:t>
            </w:r>
          </w:p>
        </w:tc>
        <w:tc>
          <w:tcPr>
            <w:tcW w:type="dxa" w:w="4824"/>
          </w:tcPr>
          <w:p>
            <w:r>
              <w:rPr>
                <w:b w:val="0"/>
                <w:i w:val="0"/>
                <w:sz w:val="15"/>
              </w:rPr>
              <w:t>no directional signal today</w:t>
            </w:r>
          </w:p>
        </w:tc>
      </w:tr>
      <w:tr>
        <w:tc>
          <w:tcPr>
            <w:tcW w:type="dxa" w:w="1800"/>
            <w:shd w:val="clear" w:color="auto" w:fill="F7F7F5"/>
          </w:tcPr>
          <w:p>
            <w:r>
              <w:rPr>
                <w:b/>
                <w:i w:val="0"/>
                <w:sz w:val="15"/>
              </w:rPr>
              <w:t>Model-only view (4)</w:t>
            </w:r>
          </w:p>
        </w:tc>
        <w:tc>
          <w:tcPr>
            <w:tcW w:type="dxa" w:w="3312"/>
            <w:shd w:val="clear" w:color="auto" w:fill="F7F7F5"/>
          </w:tcPr>
          <w:p>
            <w:r>
              <w:rPr>
                <w:b w:val="0"/>
                <w:i w:val="0"/>
                <w:sz w:val="15"/>
              </w:rPr>
              <w:t>OCBC Bank, Singtel, ST Engineering, ComfortDelGro</w:t>
            </w:r>
          </w:p>
        </w:tc>
        <w:tc>
          <w:tcPr>
            <w:tcW w:type="dxa" w:w="4824"/>
            <w:shd w:val="clear" w:color="auto" w:fill="F7F7F5"/>
          </w:tcPr>
          <w:p>
            <w:r>
              <w:rPr>
                <w:b w:val="0"/>
                <w:i w:val="0"/>
                <w:sz w:val="15"/>
              </w:rPr>
              <w:t>signals flat, but the model has a view</w:t>
            </w:r>
          </w:p>
        </w:tc>
      </w:tr>
      <w:tr>
        <w:tc>
          <w:tcPr>
            <w:tcW w:type="dxa" w:w="1800"/>
          </w:tcPr>
          <w:p>
            <w:r>
              <w:rPr>
                <w:b/>
                <w:i w:val="0"/>
                <w:sz w:val="15"/>
              </w:rPr>
              <w:t>Mean reversion (2)</w:t>
            </w:r>
          </w:p>
        </w:tc>
        <w:tc>
          <w:tcPr>
            <w:tcW w:type="dxa" w:w="3312"/>
          </w:tcPr>
          <w:p>
            <w:r>
              <w:rPr>
                <w:b w:val="0"/>
                <w:i w:val="0"/>
                <w:sz w:val="15"/>
              </w:rPr>
              <w:t>UOB, SGX Group</w:t>
            </w:r>
          </w:p>
        </w:tc>
        <w:tc>
          <w:tcPr>
            <w:tcW w:type="dxa" w:w="4824"/>
          </w:tcPr>
          <w:p>
            <w:r>
              <w:rPr>
                <w:b w:val="0"/>
                <w:i w:val="0"/>
                <w:sz w:val="15"/>
              </w:rPr>
              <w:t>news and price agreed, but the model expects a pullback</w:t>
            </w:r>
          </w:p>
        </w:tc>
      </w:tr>
      <w:tr>
        <w:tc>
          <w:tcPr>
            <w:tcW w:type="dxa" w:w="1800"/>
            <w:shd w:val="clear" w:color="auto" w:fill="F7F7F5"/>
          </w:tcPr>
          <w:p>
            <w:r>
              <w:rPr>
                <w:b/>
                <w:i w:val="0"/>
                <w:sz w:val="15"/>
              </w:rPr>
              <w:t>Muted, fading (1)</w:t>
            </w:r>
          </w:p>
        </w:tc>
        <w:tc>
          <w:tcPr>
            <w:tcW w:type="dxa" w:w="3312"/>
            <w:shd w:val="clear" w:color="auto" w:fill="F7F7F5"/>
          </w:tcPr>
          <w:p>
            <w:r>
              <w:rPr>
                <w:b w:val="0"/>
                <w:i w:val="0"/>
                <w:sz w:val="15"/>
              </w:rPr>
              <w:t>DBS Group</w:t>
            </w:r>
          </w:p>
        </w:tc>
        <w:tc>
          <w:tcPr>
            <w:tcW w:type="dxa" w:w="4824"/>
            <w:shd w:val="clear" w:color="auto" w:fill="F7F7F5"/>
          </w:tcPr>
          <w:p>
            <w:r>
              <w:rPr>
                <w:b w:val="0"/>
                <w:i w:val="0"/>
                <w:sz w:val="15"/>
              </w:rPr>
              <w:t>signals leaned one way, price barely moved; the model expects the opposite</w:t>
            </w:r>
          </w:p>
        </w:tc>
      </w:tr>
      <w:tr>
        <w:tc>
          <w:tcPr>
            <w:tcW w:type="dxa" w:w="1800"/>
          </w:tcPr>
          <w:p>
            <w:r>
              <w:rPr>
                <w:b/>
                <w:i w:val="0"/>
                <w:sz w:val="15"/>
              </w:rPr>
              <w:t>Dormant (1)</w:t>
            </w:r>
          </w:p>
        </w:tc>
        <w:tc>
          <w:tcPr>
            <w:tcW w:type="dxa" w:w="3312"/>
          </w:tcPr>
          <w:p>
            <w:r>
              <w:rPr>
                <w:b w:val="0"/>
                <w:i w:val="0"/>
                <w:sz w:val="15"/>
              </w:rPr>
              <w:t>Ascendas REIT</w:t>
            </w:r>
          </w:p>
        </w:tc>
        <w:tc>
          <w:tcPr>
            <w:tcW w:type="dxa" w:w="4824"/>
          </w:tcPr>
          <w:p>
            <w:r>
              <w:rPr>
                <w:b w:val="0"/>
                <w:i w:val="0"/>
                <w:sz w:val="15"/>
              </w:rPr>
              <w:t>a slight lean in the signals; neither price nor model followed</w:t>
            </w:r>
          </w:p>
        </w:tc>
      </w:tr>
    </w:tbl>
    <w:p>
      <w:pPr>
        <w:spacing w:after="40"/>
      </w:pPr>
      <w:r>
        <w:rPr>
          <w:b w:val="0"/>
          <w:i w:val="0"/>
          <w:color w:val="52514E"/>
          <w:sz w:val="15"/>
        </w:rPr>
        <w:t>The other patterns in the 11-pattern engine did not occur today; the full set is defined in the final report, Appendix C. The contradiction check rated 2 of 15 readings strongly mixed (named on the cards) and 13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40% of 285 vs 53%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38% of the time (125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46%, others 35%; the gain is in 'no big move' calls (58%). ✓ rise-or-fall calls: 22% of 46.</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22 Sep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