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1A7EB" w14:textId="77777777" w:rsidR="008A1CD2" w:rsidRPr="00621A29" w:rsidRDefault="008A1CD2" w:rsidP="008A1CD2">
      <w:pPr>
        <w:rPr>
          <w:rFonts w:eastAsiaTheme="minorHAnsi" w:hint="eastAsia"/>
          <w:b/>
          <w:bCs/>
          <w:szCs w:val="22"/>
        </w:rPr>
      </w:pPr>
      <w:r w:rsidRPr="00621A29">
        <w:rPr>
          <w:rFonts w:eastAsiaTheme="minorHAnsi" w:hint="eastAsia"/>
          <w:b/>
          <w:bCs/>
          <w:szCs w:val="22"/>
        </w:rPr>
        <w:t>SLAM-seq Data Analysis</w:t>
      </w:r>
    </w:p>
    <w:p w14:paraId="0F83BDC9" w14:textId="4836CBA3" w:rsidR="008A1CD2" w:rsidRPr="00621A29" w:rsidRDefault="008A1CD2" w:rsidP="008A1CD2">
      <w:pPr>
        <w:rPr>
          <w:rFonts w:eastAsiaTheme="minorHAnsi" w:hint="eastAsia"/>
          <w:szCs w:val="22"/>
        </w:rPr>
      </w:pPr>
      <w:r w:rsidRPr="00621A29">
        <w:rPr>
          <w:rFonts w:eastAsiaTheme="minorHAnsi" w:hint="eastAsia"/>
          <w:szCs w:val="22"/>
        </w:rPr>
        <w:t>To investigate the dynamics of transcriptional changes in our samples, we employed SLAM-seq</w:t>
      </w:r>
      <w:r w:rsidR="002F66FA" w:rsidRPr="00621A29">
        <w:rPr>
          <w:rFonts w:eastAsiaTheme="minorHAnsi" w:hint="eastAsia"/>
          <w:szCs w:val="22"/>
        </w:rPr>
        <w:t xml:space="preserve"> </w:t>
      </w:r>
      <w:r w:rsidRPr="00621A29">
        <w:rPr>
          <w:rFonts w:eastAsiaTheme="minorHAnsi" w:hint="eastAsia"/>
          <w:szCs w:val="22"/>
        </w:rPr>
        <w:t>and conducted a comprehensive bioinformatics analysis pipeline</w:t>
      </w:r>
      <w:r w:rsidR="003C12B5" w:rsidRPr="00621A29">
        <w:rPr>
          <w:rFonts w:eastAsiaTheme="minorHAnsi" w:hint="eastAsia"/>
          <w:szCs w:val="22"/>
        </w:rPr>
        <w:t xml:space="preserve"> (</w:t>
      </w:r>
      <w:hyperlink r:id="rId5" w:history="1">
        <w:r w:rsidR="003C12B5" w:rsidRPr="00E33378">
          <w:rPr>
            <w:rStyle w:val="ae"/>
            <w:rFonts w:eastAsiaTheme="minorHAnsi" w:hint="eastAsia"/>
            <w:szCs w:val="22"/>
          </w:rPr>
          <w:t>https://github.com/Liangyan-1996/BCL11A-paper</w:t>
        </w:r>
      </w:hyperlink>
      <w:r w:rsidR="003C12B5" w:rsidRPr="00621A29">
        <w:rPr>
          <w:rFonts w:eastAsiaTheme="minorHAnsi" w:hint="eastAsia"/>
          <w:szCs w:val="22"/>
        </w:rPr>
        <w:t>)</w:t>
      </w:r>
      <w:r w:rsidRPr="00621A29">
        <w:rPr>
          <w:rFonts w:eastAsiaTheme="minorHAnsi" w:hint="eastAsia"/>
          <w:szCs w:val="22"/>
        </w:rPr>
        <w:t>. The detailed workflow is described as follows:</w:t>
      </w:r>
    </w:p>
    <w:p w14:paraId="4C149293" w14:textId="75DC0798" w:rsidR="008A1CD2" w:rsidRPr="00621A29" w:rsidRDefault="008A1CD2" w:rsidP="008A1CD2">
      <w:pPr>
        <w:pStyle w:val="a9"/>
        <w:numPr>
          <w:ilvl w:val="0"/>
          <w:numId w:val="1"/>
        </w:numPr>
        <w:rPr>
          <w:rFonts w:eastAsiaTheme="minorHAnsi" w:hint="eastAsia"/>
          <w:szCs w:val="22"/>
        </w:rPr>
      </w:pPr>
      <w:r w:rsidRPr="00621A29">
        <w:rPr>
          <w:rFonts w:eastAsiaTheme="minorHAnsi" w:hint="eastAsia"/>
          <w:szCs w:val="22"/>
        </w:rPr>
        <w:t>Quality Control and Alignment</w:t>
      </w:r>
    </w:p>
    <w:p w14:paraId="4C47E0FA" w14:textId="21273CF2" w:rsidR="008A1CD2" w:rsidRPr="00621A29" w:rsidRDefault="008A1CD2" w:rsidP="008A1CD2">
      <w:pPr>
        <w:rPr>
          <w:rFonts w:eastAsiaTheme="minorHAnsi" w:hint="eastAsia"/>
          <w:szCs w:val="22"/>
        </w:rPr>
      </w:pPr>
      <w:r w:rsidRPr="00621A29">
        <w:rPr>
          <w:rFonts w:eastAsiaTheme="minorHAnsi" w:hint="eastAsia"/>
          <w:szCs w:val="22"/>
        </w:rPr>
        <w:t xml:space="preserve">Raw sequencing reads were subjected to quality control using </w:t>
      </w:r>
      <w:proofErr w:type="spellStart"/>
      <w:r w:rsidRPr="00621A29">
        <w:rPr>
          <w:rFonts w:eastAsiaTheme="minorHAnsi" w:hint="eastAsia"/>
          <w:szCs w:val="22"/>
        </w:rPr>
        <w:t>fastp</w:t>
      </w:r>
      <w:proofErr w:type="spellEnd"/>
      <w:r w:rsidRPr="00621A29">
        <w:rPr>
          <w:rFonts w:eastAsiaTheme="minorHAnsi" w:hint="eastAsia"/>
          <w:szCs w:val="22"/>
        </w:rPr>
        <w:t xml:space="preserve"> (</w:t>
      </w:r>
      <w:r w:rsidR="00922009" w:rsidRPr="00621A29">
        <w:rPr>
          <w:rFonts w:eastAsiaTheme="minorHAnsi" w:hint="eastAsia"/>
          <w:szCs w:val="22"/>
        </w:rPr>
        <w:t xml:space="preserve">version: </w:t>
      </w:r>
      <w:r w:rsidR="002F66FA" w:rsidRPr="00621A29">
        <w:rPr>
          <w:rFonts w:eastAsiaTheme="minorHAnsi" w:hint="eastAsia"/>
          <w:szCs w:val="22"/>
        </w:rPr>
        <w:t>0.23.2</w:t>
      </w:r>
      <w:r w:rsidRPr="00621A29">
        <w:rPr>
          <w:rFonts w:eastAsiaTheme="minorHAnsi" w:hint="eastAsia"/>
          <w:szCs w:val="22"/>
        </w:rPr>
        <w:t xml:space="preserve">), </w:t>
      </w:r>
      <w:r w:rsidR="00110481" w:rsidRPr="00621A29">
        <w:rPr>
          <w:rFonts w:eastAsiaTheme="minorHAnsi" w:hint="eastAsia"/>
          <w:szCs w:val="22"/>
        </w:rPr>
        <w:t>with default parameters</w:t>
      </w:r>
      <w:r w:rsidRPr="00621A29">
        <w:rPr>
          <w:rFonts w:eastAsiaTheme="minorHAnsi" w:hint="eastAsia"/>
          <w:szCs w:val="22"/>
        </w:rPr>
        <w:t>. High-quality reads were then aligned to the human genome (</w:t>
      </w:r>
      <w:proofErr w:type="spellStart"/>
      <w:r w:rsidRPr="00621A29">
        <w:rPr>
          <w:rFonts w:eastAsiaTheme="minorHAnsi" w:hint="eastAsia"/>
          <w:szCs w:val="22"/>
        </w:rPr>
        <w:t>Ensembl</w:t>
      </w:r>
      <w:proofErr w:type="spellEnd"/>
      <w:r w:rsidRPr="00621A29">
        <w:rPr>
          <w:rFonts w:eastAsiaTheme="minorHAnsi" w:hint="eastAsia"/>
          <w:szCs w:val="22"/>
        </w:rPr>
        <w:t xml:space="preserve"> GRCh38.110) using STAR (</w:t>
      </w:r>
      <w:r w:rsidR="00922009" w:rsidRPr="00621A29">
        <w:rPr>
          <w:rFonts w:eastAsiaTheme="minorHAnsi" w:hint="eastAsia"/>
          <w:szCs w:val="22"/>
        </w:rPr>
        <w:t>version: 2.7.11a</w:t>
      </w:r>
      <w:r w:rsidRPr="00621A29">
        <w:rPr>
          <w:rFonts w:eastAsiaTheme="minorHAnsi" w:hint="eastAsia"/>
          <w:szCs w:val="22"/>
        </w:rPr>
        <w:t>) with stringent parameters: maximum mismatches</w:t>
      </w:r>
      <w:r w:rsidR="00AC38C5" w:rsidRPr="00621A29">
        <w:rPr>
          <w:rFonts w:eastAsiaTheme="minorHAnsi" w:hint="eastAsia"/>
          <w:szCs w:val="22"/>
        </w:rPr>
        <w:t xml:space="preserve"> (--</w:t>
      </w:r>
      <w:proofErr w:type="spellStart"/>
      <w:r w:rsidR="00AC38C5" w:rsidRPr="00621A29">
        <w:rPr>
          <w:rFonts w:eastAsiaTheme="minorHAnsi" w:hint="eastAsia"/>
          <w:szCs w:val="22"/>
        </w:rPr>
        <w:t>outFilterMismatchNmax</w:t>
      </w:r>
      <w:proofErr w:type="spellEnd"/>
      <w:r w:rsidR="00AC38C5" w:rsidRPr="00621A29">
        <w:rPr>
          <w:rFonts w:eastAsiaTheme="minorHAnsi" w:hint="eastAsia"/>
          <w:szCs w:val="22"/>
        </w:rPr>
        <w:t>)</w:t>
      </w:r>
      <w:r w:rsidRPr="00621A29">
        <w:rPr>
          <w:rFonts w:eastAsiaTheme="minorHAnsi" w:hint="eastAsia"/>
          <w:szCs w:val="22"/>
        </w:rPr>
        <w:t xml:space="preserve"> allowed were set to 20, and the minimum alignment score</w:t>
      </w:r>
      <w:r w:rsidR="00AC38C5" w:rsidRPr="00621A29">
        <w:rPr>
          <w:rFonts w:eastAsiaTheme="minorHAnsi" w:hint="eastAsia"/>
          <w:szCs w:val="22"/>
        </w:rPr>
        <w:t xml:space="preserve"> (--</w:t>
      </w:r>
      <w:proofErr w:type="spellStart"/>
      <w:r w:rsidR="00AC38C5" w:rsidRPr="00621A29">
        <w:rPr>
          <w:rFonts w:eastAsiaTheme="minorHAnsi" w:hint="eastAsia"/>
          <w:szCs w:val="22"/>
        </w:rPr>
        <w:t>outFilterScoreMinOverLread</w:t>
      </w:r>
      <w:proofErr w:type="spellEnd"/>
      <w:r w:rsidR="00AC38C5" w:rsidRPr="00621A29">
        <w:rPr>
          <w:rFonts w:eastAsiaTheme="minorHAnsi" w:hint="eastAsia"/>
          <w:szCs w:val="22"/>
        </w:rPr>
        <w:t>)</w:t>
      </w:r>
      <w:r w:rsidRPr="00621A29">
        <w:rPr>
          <w:rFonts w:eastAsiaTheme="minorHAnsi" w:hint="eastAsia"/>
          <w:szCs w:val="22"/>
        </w:rPr>
        <w:t xml:space="preserve"> </w:t>
      </w:r>
      <w:r w:rsidR="00422DD6" w:rsidRPr="00621A29">
        <w:rPr>
          <w:rFonts w:eastAsiaTheme="minorHAnsi" w:hint="eastAsia"/>
          <w:szCs w:val="22"/>
        </w:rPr>
        <w:t xml:space="preserve">and minimum </w:t>
      </w:r>
      <w:r w:rsidR="008D0D8A" w:rsidRPr="00621A29">
        <w:rPr>
          <w:rFonts w:eastAsiaTheme="minorHAnsi" w:hint="eastAsia"/>
          <w:szCs w:val="22"/>
        </w:rPr>
        <w:t>match length (--</w:t>
      </w:r>
      <w:proofErr w:type="spellStart"/>
      <w:r w:rsidR="008D0D8A" w:rsidRPr="00621A29">
        <w:rPr>
          <w:rFonts w:eastAsiaTheme="minorHAnsi" w:hint="eastAsia"/>
          <w:szCs w:val="22"/>
        </w:rPr>
        <w:t>outFilterMatchNminOverLread</w:t>
      </w:r>
      <w:proofErr w:type="spellEnd"/>
      <w:r w:rsidR="008D0D8A" w:rsidRPr="00621A29">
        <w:rPr>
          <w:rFonts w:eastAsiaTheme="minorHAnsi" w:hint="eastAsia"/>
          <w:szCs w:val="22"/>
        </w:rPr>
        <w:t>)</w:t>
      </w:r>
      <w:r w:rsidR="00422DD6" w:rsidRPr="00621A29">
        <w:rPr>
          <w:rFonts w:eastAsiaTheme="minorHAnsi" w:hint="eastAsia"/>
          <w:szCs w:val="22"/>
        </w:rPr>
        <w:t xml:space="preserve"> </w:t>
      </w:r>
      <w:r w:rsidRPr="00621A29">
        <w:rPr>
          <w:rFonts w:eastAsiaTheme="minorHAnsi" w:hint="eastAsia"/>
          <w:szCs w:val="22"/>
        </w:rPr>
        <w:t xml:space="preserve">was set to 0.4 of the read length. The resulting BAM files were sorted by </w:t>
      </w:r>
      <w:proofErr w:type="gramStart"/>
      <w:r w:rsidRPr="00621A29">
        <w:rPr>
          <w:rFonts w:eastAsiaTheme="minorHAnsi" w:hint="eastAsia"/>
          <w:szCs w:val="22"/>
        </w:rPr>
        <w:t>coordinate</w:t>
      </w:r>
      <w:proofErr w:type="gramEnd"/>
      <w:r w:rsidRPr="00621A29">
        <w:rPr>
          <w:rFonts w:eastAsiaTheme="minorHAnsi" w:hint="eastAsia"/>
          <w:szCs w:val="22"/>
        </w:rPr>
        <w:t xml:space="preserve"> and indexed using </w:t>
      </w:r>
      <w:proofErr w:type="spellStart"/>
      <w:r w:rsidRPr="00621A29">
        <w:rPr>
          <w:rFonts w:eastAsiaTheme="minorHAnsi" w:hint="eastAsia"/>
          <w:szCs w:val="22"/>
        </w:rPr>
        <w:t>sambamba</w:t>
      </w:r>
      <w:proofErr w:type="spellEnd"/>
      <w:r w:rsidRPr="00621A29">
        <w:rPr>
          <w:rFonts w:eastAsiaTheme="minorHAnsi" w:hint="eastAsia"/>
          <w:szCs w:val="22"/>
        </w:rPr>
        <w:t xml:space="preserve"> (version: </w:t>
      </w:r>
      <w:r w:rsidR="00AC38C5" w:rsidRPr="00621A29">
        <w:rPr>
          <w:rFonts w:eastAsiaTheme="minorHAnsi" w:hint="eastAsia"/>
          <w:szCs w:val="22"/>
        </w:rPr>
        <w:t>0.6.8</w:t>
      </w:r>
      <w:r w:rsidRPr="00621A29">
        <w:rPr>
          <w:rFonts w:eastAsiaTheme="minorHAnsi" w:hint="eastAsia"/>
          <w:szCs w:val="22"/>
        </w:rPr>
        <w:t>).</w:t>
      </w:r>
    </w:p>
    <w:p w14:paraId="7C8EACE9" w14:textId="1FEE04BA" w:rsidR="008A1CD2" w:rsidRPr="00621A29" w:rsidRDefault="008A1CD2" w:rsidP="008A1CD2">
      <w:pPr>
        <w:pStyle w:val="a9"/>
        <w:numPr>
          <w:ilvl w:val="0"/>
          <w:numId w:val="1"/>
        </w:numPr>
        <w:rPr>
          <w:rFonts w:eastAsiaTheme="minorHAnsi" w:hint="eastAsia"/>
          <w:szCs w:val="22"/>
        </w:rPr>
      </w:pPr>
      <w:r w:rsidRPr="00621A29">
        <w:rPr>
          <w:rFonts w:eastAsiaTheme="minorHAnsi" w:hint="eastAsia"/>
          <w:szCs w:val="22"/>
        </w:rPr>
        <w:t>4sU Conversion Analysis</w:t>
      </w:r>
    </w:p>
    <w:p w14:paraId="088C5B89" w14:textId="71282845" w:rsidR="008A1CD2" w:rsidRPr="00621A29" w:rsidRDefault="008A1CD2" w:rsidP="008A1CD2">
      <w:pPr>
        <w:rPr>
          <w:rFonts w:eastAsiaTheme="minorHAnsi" w:hint="eastAsia"/>
          <w:szCs w:val="22"/>
        </w:rPr>
      </w:pPr>
      <w:r w:rsidRPr="00621A29">
        <w:rPr>
          <w:rFonts w:eastAsiaTheme="minorHAnsi" w:hint="eastAsia"/>
          <w:szCs w:val="22"/>
        </w:rPr>
        <w:t>To assess the dynamics of 4sU-labeled transcripts, we utilized the GRAND-SLAM</w:t>
      </w:r>
      <w:r w:rsidR="00FA6A76" w:rsidRPr="00621A29">
        <w:rPr>
          <w:rFonts w:eastAsiaTheme="minorHAnsi" w:hint="eastAsia"/>
          <w:szCs w:val="22"/>
        </w:rPr>
        <w:t xml:space="preserve"> </w:t>
      </w:r>
      <w:r w:rsidRPr="00621A29">
        <w:rPr>
          <w:rFonts w:eastAsiaTheme="minorHAnsi" w:hint="eastAsia"/>
          <w:szCs w:val="22"/>
        </w:rPr>
        <w:t xml:space="preserve">(version: </w:t>
      </w:r>
      <w:r w:rsidR="00FA6A76" w:rsidRPr="00621A29">
        <w:rPr>
          <w:rFonts w:eastAsiaTheme="minorHAnsi" w:hint="eastAsia"/>
          <w:szCs w:val="22"/>
        </w:rPr>
        <w:t>2.0.7b</w:t>
      </w:r>
      <w:r w:rsidRPr="00621A29">
        <w:rPr>
          <w:rFonts w:eastAsiaTheme="minorHAnsi" w:hint="eastAsia"/>
          <w:szCs w:val="22"/>
        </w:rPr>
        <w:t>) to analyze the aligned BAM files and quantify 4sU conversion rates across the transcriptome. T</w:t>
      </w:r>
      <w:r w:rsidR="00FA6A76" w:rsidRPr="00621A29">
        <w:rPr>
          <w:rFonts w:eastAsiaTheme="minorHAnsi" w:hint="eastAsia"/>
          <w:szCs w:val="22"/>
        </w:rPr>
        <w:t>he</w:t>
      </w:r>
      <w:r w:rsidRPr="00621A29">
        <w:rPr>
          <w:rFonts w:eastAsiaTheme="minorHAnsi" w:hint="eastAsia"/>
          <w:szCs w:val="22"/>
        </w:rPr>
        <w:t xml:space="preserve"> parameters were set to trim 10 nucleotides from both the 5' and 3' ends</w:t>
      </w:r>
      <w:r w:rsidR="00FA6A76" w:rsidRPr="00621A29">
        <w:rPr>
          <w:rFonts w:eastAsiaTheme="minorHAnsi" w:hint="eastAsia"/>
          <w:szCs w:val="22"/>
        </w:rPr>
        <w:t xml:space="preserve"> (-trim5p 10 -trim5p 10)</w:t>
      </w:r>
      <w:r w:rsidRPr="00621A29">
        <w:rPr>
          <w:rFonts w:eastAsiaTheme="minorHAnsi" w:hint="eastAsia"/>
          <w:szCs w:val="22"/>
        </w:rPr>
        <w:t xml:space="preserve"> of the reads to minimize sequencing biases.</w:t>
      </w:r>
    </w:p>
    <w:p w14:paraId="0BA05809" w14:textId="07324D9A" w:rsidR="008A1CD2" w:rsidRPr="00621A29" w:rsidRDefault="008A1CD2" w:rsidP="008A1CD2">
      <w:pPr>
        <w:pStyle w:val="a9"/>
        <w:numPr>
          <w:ilvl w:val="0"/>
          <w:numId w:val="1"/>
        </w:numPr>
        <w:rPr>
          <w:rFonts w:eastAsiaTheme="minorHAnsi" w:hint="eastAsia"/>
          <w:szCs w:val="22"/>
        </w:rPr>
      </w:pPr>
      <w:r w:rsidRPr="00621A29">
        <w:rPr>
          <w:rFonts w:eastAsiaTheme="minorHAnsi" w:hint="eastAsia"/>
          <w:szCs w:val="22"/>
        </w:rPr>
        <w:t>Differential Expression Analysis</w:t>
      </w:r>
    </w:p>
    <w:p w14:paraId="5E5F7854" w14:textId="3232C5A5" w:rsidR="0093646E" w:rsidRDefault="008A1CD2" w:rsidP="008A1CD2">
      <w:pPr>
        <w:rPr>
          <w:rFonts w:eastAsiaTheme="minorHAnsi"/>
          <w:szCs w:val="22"/>
        </w:rPr>
      </w:pPr>
      <w:r w:rsidRPr="00621A29">
        <w:rPr>
          <w:rFonts w:eastAsiaTheme="minorHAnsi" w:hint="eastAsia"/>
          <w:szCs w:val="22"/>
        </w:rPr>
        <w:t xml:space="preserve">Differential expression analysis was conducted using the DESeq2 package (version: </w:t>
      </w:r>
      <w:r w:rsidR="003E5936" w:rsidRPr="00621A29">
        <w:rPr>
          <w:rFonts w:eastAsiaTheme="minorHAnsi" w:hint="eastAsia"/>
          <w:szCs w:val="22"/>
        </w:rPr>
        <w:t>1.46.0</w:t>
      </w:r>
      <w:r w:rsidRPr="00621A29">
        <w:rPr>
          <w:rFonts w:eastAsiaTheme="minorHAnsi" w:hint="eastAsia"/>
          <w:szCs w:val="22"/>
        </w:rPr>
        <w:t xml:space="preserve">) in R, combined with the </w:t>
      </w:r>
      <w:proofErr w:type="spellStart"/>
      <w:r w:rsidRPr="00621A29">
        <w:rPr>
          <w:rFonts w:eastAsiaTheme="minorHAnsi" w:hint="eastAsia"/>
          <w:szCs w:val="22"/>
        </w:rPr>
        <w:t>grandR</w:t>
      </w:r>
      <w:proofErr w:type="spellEnd"/>
      <w:r w:rsidRPr="00621A29">
        <w:rPr>
          <w:rFonts w:eastAsiaTheme="minorHAnsi" w:hint="eastAsia"/>
          <w:szCs w:val="22"/>
        </w:rPr>
        <w:t xml:space="preserve"> package (version:</w:t>
      </w:r>
      <w:r w:rsidR="003E5936" w:rsidRPr="00621A29">
        <w:rPr>
          <w:rFonts w:eastAsiaTheme="minorHAnsi" w:hint="eastAsia"/>
          <w:szCs w:val="22"/>
        </w:rPr>
        <w:t xml:space="preserve"> 0.2.6</w:t>
      </w:r>
      <w:r w:rsidRPr="00621A29">
        <w:rPr>
          <w:rFonts w:eastAsiaTheme="minorHAnsi" w:hint="eastAsia"/>
          <w:szCs w:val="22"/>
        </w:rPr>
        <w:t xml:space="preserve">) for handling GRAND-SLAM </w:t>
      </w:r>
      <w:r w:rsidR="00073673" w:rsidRPr="00621A29">
        <w:rPr>
          <w:rFonts w:eastAsiaTheme="minorHAnsi" w:hint="eastAsia"/>
          <w:szCs w:val="22"/>
        </w:rPr>
        <w:t>output</w:t>
      </w:r>
      <w:r w:rsidRPr="00621A29">
        <w:rPr>
          <w:rFonts w:eastAsiaTheme="minorHAnsi" w:hint="eastAsia"/>
          <w:szCs w:val="22"/>
        </w:rPr>
        <w:t xml:space="preserve">. Differential </w:t>
      </w:r>
      <w:r w:rsidR="00BC37A8" w:rsidRPr="00621A29">
        <w:rPr>
          <w:rFonts w:eastAsiaTheme="minorHAnsi"/>
          <w:szCs w:val="22"/>
        </w:rPr>
        <w:t>expressio</w:t>
      </w:r>
      <w:r w:rsidRPr="00621A29">
        <w:rPr>
          <w:rFonts w:eastAsiaTheme="minorHAnsi" w:hint="eastAsia"/>
          <w:szCs w:val="22"/>
        </w:rPr>
        <w:t>n</w:t>
      </w:r>
      <w:r w:rsidR="00BC37A8" w:rsidRPr="00621A29">
        <w:rPr>
          <w:rFonts w:eastAsiaTheme="minorHAnsi" w:hint="eastAsia"/>
          <w:szCs w:val="22"/>
        </w:rPr>
        <w:t xml:space="preserve"> analysis</w:t>
      </w:r>
      <w:r w:rsidRPr="00621A29">
        <w:rPr>
          <w:rFonts w:eastAsiaTheme="minorHAnsi" w:hint="eastAsia"/>
          <w:szCs w:val="22"/>
        </w:rPr>
        <w:t xml:space="preserve"> was </w:t>
      </w:r>
      <w:r w:rsidR="00636A84" w:rsidRPr="00621A29">
        <w:rPr>
          <w:rFonts w:eastAsiaTheme="minorHAnsi" w:hint="eastAsia"/>
          <w:szCs w:val="22"/>
        </w:rPr>
        <w:t>analyzed</w:t>
      </w:r>
      <w:r w:rsidRPr="00621A29">
        <w:rPr>
          <w:rFonts w:eastAsiaTheme="minorHAnsi" w:hint="eastAsia"/>
          <w:szCs w:val="22"/>
        </w:rPr>
        <w:t xml:space="preserve"> for both total transcripts (total) and newly synthesized transcripts (new). The analysis included normalization of counts, estimation of dispersion, and Wald testing to identify differentially expressed genes.</w:t>
      </w:r>
    </w:p>
    <w:p w14:paraId="46FC4CA3" w14:textId="77777777" w:rsidR="00F04B68" w:rsidRDefault="00F04B68" w:rsidP="008A1CD2">
      <w:pPr>
        <w:rPr>
          <w:rFonts w:eastAsiaTheme="minorHAnsi"/>
          <w:szCs w:val="22"/>
        </w:rPr>
      </w:pPr>
    </w:p>
    <w:p w14:paraId="7BAFB220" w14:textId="77777777" w:rsidR="00F04B68" w:rsidRPr="00F04B68" w:rsidRDefault="00F04B68" w:rsidP="00F04B68">
      <w:pPr>
        <w:rPr>
          <w:rFonts w:eastAsiaTheme="minorHAnsi"/>
          <w:b/>
          <w:bCs/>
          <w:szCs w:val="22"/>
        </w:rPr>
      </w:pPr>
      <w:r w:rsidRPr="00F04B68">
        <w:rPr>
          <w:rFonts w:eastAsiaTheme="minorHAnsi"/>
          <w:b/>
          <w:bCs/>
          <w:szCs w:val="22"/>
        </w:rPr>
        <w:t>Calculation of Sequence Charge Decoration Matrix (SCDM)</w:t>
      </w:r>
    </w:p>
    <w:p w14:paraId="059C4105" w14:textId="77777777" w:rsidR="00D91096" w:rsidRDefault="00F04B68" w:rsidP="008A1CD2">
      <w:pPr>
        <w:rPr>
          <w:rFonts w:eastAsiaTheme="minorHAnsi"/>
          <w:szCs w:val="22"/>
        </w:rPr>
      </w:pPr>
      <w:r w:rsidRPr="00F04B68">
        <w:rPr>
          <w:rFonts w:eastAsiaTheme="minorHAnsi"/>
          <w:szCs w:val="22"/>
        </w:rPr>
        <w:t xml:space="preserve">To quantify the electrostatic interactions within the protein sequences and capture their conformational characteristics, we calculated the Sequence Charge Decoration Matrix (SCDM) using the method described by </w:t>
      </w:r>
      <w:r w:rsidRPr="00F04B68">
        <w:rPr>
          <w:rFonts w:eastAsiaTheme="minorHAnsi"/>
          <w:szCs w:val="22"/>
          <w:highlight w:val="yellow"/>
        </w:rPr>
        <w:t>Huihui and Ghosh</w:t>
      </w:r>
      <w:r w:rsidRPr="00F04B68">
        <w:rPr>
          <w:rFonts w:eastAsiaTheme="minorHAnsi"/>
          <w:szCs w:val="22"/>
        </w:rPr>
        <w:t>.</w:t>
      </w:r>
      <w:r w:rsidR="00D91096" w:rsidRPr="00D91096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 xml:space="preserve"> </w:t>
      </w:r>
      <w:r w:rsidR="00D91096" w:rsidRPr="00D91096">
        <w:rPr>
          <w:rFonts w:eastAsiaTheme="minorHAnsi"/>
          <w:szCs w:val="22"/>
        </w:rPr>
        <w:t>The SCDM provides a detailed representation of the electrostatic interaction topology within the protein sequence, which is crucial for understanding the conformational behavior and functional properties of intrinsically disordered proteins (IDPs).</w:t>
      </w:r>
    </w:p>
    <w:p w14:paraId="64103EAF" w14:textId="56771CBB" w:rsidR="000B38F0" w:rsidRDefault="00F04B68" w:rsidP="008A1CD2">
      <w:pPr>
        <w:rPr>
          <w:rFonts w:eastAsiaTheme="minorHAnsi"/>
          <w:szCs w:val="22"/>
        </w:rPr>
      </w:pPr>
      <w:r w:rsidRPr="00F04B68">
        <w:rPr>
          <w:rFonts w:eastAsiaTheme="minorHAnsi"/>
          <w:szCs w:val="22"/>
        </w:rPr>
        <w:lastRenderedPageBreak/>
        <w:t xml:space="preserve">In this coarse-grained model, each amino acid residue is treated as a point charge. Specifically, Aspartic acid (Asp) and Glutamic acid (Glu) were assigned a charge of </w:t>
      </w:r>
      <w:r w:rsidRPr="00F04B68">
        <w:rPr>
          <w:rFonts w:eastAsiaTheme="minorHAnsi"/>
          <w:i/>
          <w:iCs/>
          <w:szCs w:val="22"/>
        </w:rPr>
        <w:t>q</w:t>
      </w:r>
      <w:r w:rsidRPr="00F04B68">
        <w:rPr>
          <w:rFonts w:eastAsiaTheme="minorHAnsi"/>
          <w:szCs w:val="22"/>
        </w:rPr>
        <w:t>=</w:t>
      </w:r>
      <w:r w:rsidRPr="00F04B68">
        <w:rPr>
          <w:rFonts w:ascii="Cambria Math" w:eastAsiaTheme="minorHAnsi" w:hAnsi="Cambria Math" w:cs="Cambria Math"/>
          <w:szCs w:val="22"/>
        </w:rPr>
        <w:t>−</w:t>
      </w:r>
      <w:r w:rsidRPr="00F04B68">
        <w:rPr>
          <w:rFonts w:eastAsiaTheme="minorHAnsi"/>
          <w:szCs w:val="22"/>
        </w:rPr>
        <w:t xml:space="preserve">1, Arginine (Arg) and Lysine (Lys) were assigned </w:t>
      </w:r>
      <w:r w:rsidRPr="00F04B68">
        <w:rPr>
          <w:rFonts w:eastAsiaTheme="minorHAnsi"/>
          <w:i/>
          <w:iCs/>
          <w:szCs w:val="22"/>
        </w:rPr>
        <w:t>q</w:t>
      </w:r>
      <w:r w:rsidRPr="00F04B68">
        <w:rPr>
          <w:rFonts w:eastAsiaTheme="minorHAnsi"/>
          <w:szCs w:val="22"/>
        </w:rPr>
        <w:t xml:space="preserve">=1, and all other amino acids were assigned </w:t>
      </w:r>
      <w:r w:rsidRPr="00F04B68">
        <w:rPr>
          <w:rFonts w:eastAsiaTheme="minorHAnsi"/>
          <w:i/>
          <w:iCs/>
          <w:szCs w:val="22"/>
        </w:rPr>
        <w:t>q</w:t>
      </w:r>
      <w:r w:rsidRPr="00F04B68">
        <w:rPr>
          <w:rFonts w:eastAsiaTheme="minorHAnsi"/>
          <w:szCs w:val="22"/>
        </w:rPr>
        <w:t>=0. For phosphorylation, the neutral charges of Serine (Ser) and Threonine (</w:t>
      </w:r>
      <w:proofErr w:type="spellStart"/>
      <w:r w:rsidRPr="00F04B68">
        <w:rPr>
          <w:rFonts w:eastAsiaTheme="minorHAnsi"/>
          <w:szCs w:val="22"/>
        </w:rPr>
        <w:t>Thr</w:t>
      </w:r>
      <w:proofErr w:type="spellEnd"/>
      <w:r w:rsidRPr="00F04B68">
        <w:rPr>
          <w:rFonts w:eastAsiaTheme="minorHAnsi"/>
          <w:szCs w:val="22"/>
        </w:rPr>
        <w:t xml:space="preserve">) were replaced with </w:t>
      </w:r>
      <w:r w:rsidRPr="00F04B68">
        <w:rPr>
          <w:rFonts w:eastAsiaTheme="minorHAnsi"/>
          <w:i/>
          <w:iCs/>
          <w:szCs w:val="22"/>
        </w:rPr>
        <w:t>q</w:t>
      </w:r>
      <w:r w:rsidRPr="00F04B68">
        <w:rPr>
          <w:rFonts w:eastAsiaTheme="minorHAnsi"/>
          <w:szCs w:val="22"/>
        </w:rPr>
        <w:t>=</w:t>
      </w:r>
      <w:r w:rsidRPr="00F04B68">
        <w:rPr>
          <w:rFonts w:ascii="Cambria Math" w:eastAsiaTheme="minorHAnsi" w:hAnsi="Cambria Math" w:cs="Cambria Math"/>
          <w:szCs w:val="22"/>
        </w:rPr>
        <w:t>−</w:t>
      </w:r>
      <w:r w:rsidRPr="00F04B68">
        <w:rPr>
          <w:rFonts w:eastAsiaTheme="minorHAnsi"/>
          <w:szCs w:val="22"/>
        </w:rPr>
        <w:t>2 to mimic the double negative charge of phosphate groups.</w:t>
      </w:r>
    </w:p>
    <w:p w14:paraId="40F5609C" w14:textId="490D427A" w:rsidR="00D91096" w:rsidRPr="00F04B68" w:rsidRDefault="00D91096" w:rsidP="008A1CD2">
      <w:pPr>
        <w:rPr>
          <w:rFonts w:eastAsiaTheme="minorHAnsi" w:hint="eastAsia"/>
          <w:szCs w:val="22"/>
        </w:rPr>
      </w:pPr>
      <w:r w:rsidRPr="00D91096">
        <w:rPr>
          <w:rFonts w:eastAsiaTheme="minorHAnsi"/>
          <w:szCs w:val="22"/>
        </w:rPr>
        <w:t xml:space="preserve">The code used for </w:t>
      </w:r>
      <w:r w:rsidR="00011A45" w:rsidRPr="00D91096">
        <w:rPr>
          <w:rFonts w:eastAsiaTheme="minorHAnsi"/>
          <w:szCs w:val="22"/>
        </w:rPr>
        <w:t>SCDM calculation</w:t>
      </w:r>
      <w:r w:rsidRPr="00D91096">
        <w:rPr>
          <w:rFonts w:eastAsiaTheme="minorHAnsi"/>
          <w:szCs w:val="22"/>
        </w:rPr>
        <w:t xml:space="preserve"> was </w:t>
      </w:r>
      <w:r w:rsidR="00011A45">
        <w:rPr>
          <w:rFonts w:eastAsiaTheme="minorHAnsi" w:hint="eastAsia"/>
          <w:szCs w:val="22"/>
        </w:rPr>
        <w:t>slightly</w:t>
      </w:r>
      <w:r w:rsidRPr="00D91096">
        <w:rPr>
          <w:rFonts w:eastAsiaTheme="minorHAnsi"/>
          <w:szCs w:val="22"/>
        </w:rPr>
        <w:t xml:space="preserve"> from the </w:t>
      </w:r>
      <w:proofErr w:type="spellStart"/>
      <w:r w:rsidR="00011A45">
        <w:rPr>
          <w:rFonts w:eastAsiaTheme="minorHAnsi" w:hint="eastAsia"/>
          <w:szCs w:val="22"/>
        </w:rPr>
        <w:t>github</w:t>
      </w:r>
      <w:proofErr w:type="spellEnd"/>
      <w:r w:rsidR="00011A45">
        <w:rPr>
          <w:rFonts w:eastAsiaTheme="minorHAnsi" w:hint="eastAsia"/>
          <w:szCs w:val="22"/>
        </w:rPr>
        <w:t xml:space="preserve"> (</w:t>
      </w:r>
      <w:r w:rsidR="00011A45" w:rsidRPr="00011A45">
        <w:rPr>
          <w:rFonts w:eastAsiaTheme="minorHAnsi" w:hint="eastAsia"/>
          <w:szCs w:val="22"/>
        </w:rPr>
        <w:t>https://github.com/MaxCalLab/IDPTheory/tree/main</w:t>
      </w:r>
      <w:r w:rsidR="00011A45">
        <w:rPr>
          <w:rFonts w:eastAsiaTheme="minorHAnsi" w:hint="eastAsia"/>
          <w:szCs w:val="22"/>
        </w:rPr>
        <w:t>)</w:t>
      </w:r>
      <w:r w:rsidRPr="00D91096">
        <w:rPr>
          <w:rFonts w:eastAsiaTheme="minorHAnsi"/>
          <w:szCs w:val="22"/>
        </w:rPr>
        <w:t xml:space="preserve"> provided </w:t>
      </w:r>
      <w:r w:rsidR="00011A45" w:rsidRPr="00D91096">
        <w:rPr>
          <w:rFonts w:eastAsiaTheme="minorHAnsi"/>
          <w:szCs w:val="22"/>
        </w:rPr>
        <w:t xml:space="preserve">in the paper by </w:t>
      </w:r>
      <w:r w:rsidR="00011A45" w:rsidRPr="00240CCE">
        <w:rPr>
          <w:rFonts w:eastAsiaTheme="minorHAnsi"/>
          <w:szCs w:val="22"/>
          <w:highlight w:val="yellow"/>
        </w:rPr>
        <w:t>Valverde et al. (2023)</w:t>
      </w:r>
      <w:r w:rsidRPr="00D91096">
        <w:rPr>
          <w:rFonts w:eastAsiaTheme="minorHAnsi"/>
          <w:szCs w:val="22"/>
        </w:rPr>
        <w:t>.</w:t>
      </w:r>
    </w:p>
    <w:sectPr w:rsidR="00D91096" w:rsidRPr="00F0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C7675"/>
    <w:multiLevelType w:val="hybridMultilevel"/>
    <w:tmpl w:val="74EC19E2"/>
    <w:lvl w:ilvl="0" w:tplc="E2CAF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31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6D"/>
    <w:rsid w:val="00011A45"/>
    <w:rsid w:val="00073673"/>
    <w:rsid w:val="000B38F0"/>
    <w:rsid w:val="00110481"/>
    <w:rsid w:val="00140B25"/>
    <w:rsid w:val="001C78BF"/>
    <w:rsid w:val="00240CCE"/>
    <w:rsid w:val="002F66FA"/>
    <w:rsid w:val="003C12B5"/>
    <w:rsid w:val="003E5936"/>
    <w:rsid w:val="00422DD6"/>
    <w:rsid w:val="004A355B"/>
    <w:rsid w:val="00621A29"/>
    <w:rsid w:val="00636A84"/>
    <w:rsid w:val="006C1B59"/>
    <w:rsid w:val="00705CE5"/>
    <w:rsid w:val="008A1CD2"/>
    <w:rsid w:val="008D0D8A"/>
    <w:rsid w:val="00922009"/>
    <w:rsid w:val="00925AC6"/>
    <w:rsid w:val="00931C16"/>
    <w:rsid w:val="0093646E"/>
    <w:rsid w:val="0097576D"/>
    <w:rsid w:val="00AC38C5"/>
    <w:rsid w:val="00B409EB"/>
    <w:rsid w:val="00BC37A8"/>
    <w:rsid w:val="00D91096"/>
    <w:rsid w:val="00DB0EE6"/>
    <w:rsid w:val="00E33378"/>
    <w:rsid w:val="00F04B68"/>
    <w:rsid w:val="00F73AF8"/>
    <w:rsid w:val="00FA6A76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E549"/>
  <w15:chartTrackingRefBased/>
  <w15:docId w15:val="{E53BD76B-B256-4D3F-9941-5F47D2DE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57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7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7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7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7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7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7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7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7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57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57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57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57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57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57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57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57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5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57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57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57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57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576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333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3337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333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0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7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37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7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53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26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44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17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86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34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65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0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10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78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9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94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4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05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92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44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30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79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60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0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7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82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angyan-1996/BCL11A-pa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焰 梁</dc:creator>
  <cp:keywords/>
  <dc:description/>
  <cp:lastModifiedBy>焰 梁</cp:lastModifiedBy>
  <cp:revision>31</cp:revision>
  <dcterms:created xsi:type="dcterms:W3CDTF">2025-03-03T05:49:00Z</dcterms:created>
  <dcterms:modified xsi:type="dcterms:W3CDTF">2025-03-04T08:04:00Z</dcterms:modified>
</cp:coreProperties>
</file>