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920E" w14:textId="77777777" w:rsidR="009837E8" w:rsidRPr="0022122A" w:rsidRDefault="009837E8" w:rsidP="0022122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2"/>
          <w:szCs w:val="22"/>
        </w:rPr>
      </w:pPr>
      <w:r w:rsidRPr="0022122A">
        <w:rPr>
          <w:rFonts w:asciiTheme="minorHAnsi" w:hAnsiTheme="minorHAnsi" w:cstheme="minorHAnsi"/>
          <w:b/>
          <w:bCs/>
          <w:color w:val="2B2B2B"/>
          <w:sz w:val="22"/>
          <w:szCs w:val="22"/>
        </w:rPr>
        <w:t>Given the provided data, what are three conclusions that we can draw about crowdfunding campaigns?</w:t>
      </w:r>
    </w:p>
    <w:p w14:paraId="215A0A88" w14:textId="77777777" w:rsidR="00130417" w:rsidRPr="0022122A" w:rsidRDefault="00130417">
      <w:pPr>
        <w:rPr>
          <w:rFonts w:cstheme="minorHAnsi"/>
        </w:rPr>
      </w:pPr>
    </w:p>
    <w:p w14:paraId="3403F677" w14:textId="77777777" w:rsidR="00315F37" w:rsidRPr="0022122A" w:rsidRDefault="00315F37" w:rsidP="0022122A">
      <w:pPr>
        <w:pStyle w:val="ListParagraph"/>
        <w:numPr>
          <w:ilvl w:val="0"/>
          <w:numId w:val="2"/>
        </w:numPr>
        <w:rPr>
          <w:rFonts w:cstheme="minorHAnsi"/>
        </w:rPr>
      </w:pPr>
      <w:r w:rsidRPr="0022122A">
        <w:rPr>
          <w:rFonts w:cstheme="minorHAnsi"/>
        </w:rPr>
        <w:t>Campaigns with funding goals ranging from $15,000 to $24,999 have a remarkable 100% success rate. This finding suggests that campaigns with moderate funding goals are more likely to succeed.</w:t>
      </w:r>
    </w:p>
    <w:p w14:paraId="1712F459" w14:textId="77777777" w:rsidR="00315F37" w:rsidRPr="0022122A" w:rsidRDefault="00315F37" w:rsidP="0022122A">
      <w:pPr>
        <w:pStyle w:val="ListParagraph"/>
        <w:numPr>
          <w:ilvl w:val="0"/>
          <w:numId w:val="2"/>
        </w:numPr>
        <w:rPr>
          <w:rFonts w:cstheme="minorHAnsi"/>
        </w:rPr>
      </w:pPr>
      <w:r w:rsidRPr="0022122A">
        <w:rPr>
          <w:rFonts w:cstheme="minorHAnsi"/>
        </w:rPr>
        <w:t xml:space="preserve">The data shows that theater campaigns have the highest overall success rate. This suggests that among various categories, theater-related crowdfunding campaigns tend to attract more backers and achieve successful outcomes more frequently compared to other categories. </w:t>
      </w:r>
    </w:p>
    <w:p w14:paraId="15F383C7" w14:textId="155A4C66" w:rsidR="00315F37" w:rsidRPr="0022122A" w:rsidRDefault="00315F37" w:rsidP="0022122A">
      <w:pPr>
        <w:pStyle w:val="ListParagraph"/>
        <w:numPr>
          <w:ilvl w:val="0"/>
          <w:numId w:val="2"/>
        </w:numPr>
        <w:rPr>
          <w:rFonts w:eastAsia="Times New Roman" w:cstheme="minorHAnsi"/>
          <w:color w:val="2B2B2B"/>
          <w:kern w:val="0"/>
          <w14:ligatures w14:val="none"/>
        </w:rPr>
      </w:pPr>
      <w:r w:rsidRPr="0022122A">
        <w:rPr>
          <w:rFonts w:cstheme="minorHAnsi"/>
        </w:rPr>
        <w:t>P</w:t>
      </w:r>
      <w:r w:rsidRPr="0022122A">
        <w:rPr>
          <w:rFonts w:cstheme="minorHAnsi"/>
        </w:rPr>
        <w:t>lay stand out as the most successful subcategory. This indicates that plays have a higher chance of success</w:t>
      </w:r>
      <w:r w:rsidRPr="0022122A">
        <w:rPr>
          <w:rFonts w:cstheme="minorHAnsi"/>
        </w:rPr>
        <w:t xml:space="preserve"> </w:t>
      </w:r>
      <w:proofErr w:type="gramStart"/>
      <w:r w:rsidRPr="0022122A">
        <w:rPr>
          <w:rFonts w:cstheme="minorHAnsi"/>
        </w:rPr>
        <w:t>compare</w:t>
      </w:r>
      <w:proofErr w:type="gramEnd"/>
      <w:r w:rsidRPr="0022122A">
        <w:rPr>
          <w:rFonts w:cstheme="minorHAnsi"/>
        </w:rPr>
        <w:t xml:space="preserve"> to others. </w:t>
      </w:r>
    </w:p>
    <w:p w14:paraId="7F619220" w14:textId="6D460D94" w:rsidR="00315F37" w:rsidRPr="0022122A" w:rsidRDefault="00315F37">
      <w:pPr>
        <w:rPr>
          <w:rFonts w:cstheme="minorHAnsi"/>
        </w:rPr>
      </w:pPr>
    </w:p>
    <w:p w14:paraId="39397DE1" w14:textId="77777777" w:rsidR="0022122A" w:rsidRPr="0022122A" w:rsidRDefault="0022122A" w:rsidP="0022122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2"/>
          <w:szCs w:val="22"/>
        </w:rPr>
      </w:pPr>
      <w:r w:rsidRPr="0022122A">
        <w:rPr>
          <w:rFonts w:asciiTheme="minorHAnsi" w:hAnsiTheme="minorHAnsi" w:cstheme="minorHAnsi"/>
          <w:b/>
          <w:bCs/>
          <w:color w:val="2B2B2B"/>
          <w:sz w:val="22"/>
          <w:szCs w:val="22"/>
        </w:rPr>
        <w:t>What are some limitations of this dataset?</w:t>
      </w:r>
    </w:p>
    <w:p w14:paraId="1AD3A4B3" w14:textId="77777777" w:rsidR="00315F37" w:rsidRPr="0022122A" w:rsidRDefault="00315F37">
      <w:pPr>
        <w:rPr>
          <w:rFonts w:cstheme="minorHAnsi"/>
        </w:rPr>
      </w:pPr>
    </w:p>
    <w:p w14:paraId="55C0FE5C" w14:textId="2F6EAC21" w:rsidR="002E7E10" w:rsidRPr="0022122A" w:rsidRDefault="00315F37">
      <w:pPr>
        <w:rPr>
          <w:rFonts w:cstheme="minorHAnsi"/>
        </w:rPr>
      </w:pPr>
      <w:r w:rsidRPr="0022122A">
        <w:rPr>
          <w:rFonts w:cstheme="minorHAnsi"/>
        </w:rPr>
        <w:t>The data set have a h</w:t>
      </w:r>
      <w:r w:rsidRPr="0022122A">
        <w:rPr>
          <w:rFonts w:cstheme="minorHAnsi"/>
        </w:rPr>
        <w:t>igh variance</w:t>
      </w:r>
      <w:r w:rsidRPr="0022122A">
        <w:rPr>
          <w:rFonts w:cstheme="minorHAnsi"/>
        </w:rPr>
        <w:t xml:space="preserve"> which </w:t>
      </w:r>
      <w:r w:rsidRPr="0022122A">
        <w:rPr>
          <w:rFonts w:cstheme="minorHAnsi"/>
        </w:rPr>
        <w:t>make it challenging to identify clear patterns</w:t>
      </w:r>
      <w:r w:rsidRPr="0022122A">
        <w:rPr>
          <w:rFonts w:cstheme="minorHAnsi"/>
        </w:rPr>
        <w:t>. Also, the a</w:t>
      </w:r>
      <w:r w:rsidRPr="0022122A">
        <w:rPr>
          <w:rFonts w:cstheme="minorHAnsi"/>
        </w:rPr>
        <w:t>nalytical results might be less stable and generalizations about the crowdfunding landscape could be less reliable due to the fluctuating nature of the data.</w:t>
      </w:r>
      <w:r w:rsidRPr="0022122A">
        <w:rPr>
          <w:rFonts w:cstheme="minorHAnsi"/>
        </w:rPr>
        <w:t xml:space="preserve"> In addition to that, the</w:t>
      </w:r>
      <w:r w:rsidRPr="0022122A">
        <w:rPr>
          <w:rFonts w:cstheme="minorHAnsi"/>
        </w:rPr>
        <w:t xml:space="preserve"> sample size</w:t>
      </w:r>
      <w:r w:rsidRPr="0022122A">
        <w:rPr>
          <w:rFonts w:cstheme="minorHAnsi"/>
        </w:rPr>
        <w:t xml:space="preserve"> is small which</w:t>
      </w:r>
      <w:r w:rsidRPr="0022122A">
        <w:rPr>
          <w:rFonts w:cstheme="minorHAnsi"/>
        </w:rPr>
        <w:t xml:space="preserve"> might not be representative of the entire population of crowdfunding campaigns.</w:t>
      </w:r>
      <w:r w:rsidR="0022122A" w:rsidRPr="0022122A">
        <w:rPr>
          <w:rFonts w:cstheme="minorHAnsi"/>
        </w:rPr>
        <w:t xml:space="preserve"> All these limitations make the c</w:t>
      </w:r>
      <w:r w:rsidR="002E7E10" w:rsidRPr="0022122A">
        <w:rPr>
          <w:rFonts w:cstheme="minorHAnsi"/>
        </w:rPr>
        <w:t xml:space="preserve">onclusive report </w:t>
      </w:r>
      <w:r w:rsidR="0022122A" w:rsidRPr="0022122A">
        <w:rPr>
          <w:rFonts w:cstheme="minorHAnsi"/>
        </w:rPr>
        <w:t>less accurate.</w:t>
      </w:r>
      <w:r w:rsidR="002E7E10" w:rsidRPr="0022122A">
        <w:rPr>
          <w:rFonts w:cstheme="minorHAnsi"/>
        </w:rPr>
        <w:t xml:space="preserve"> </w:t>
      </w:r>
    </w:p>
    <w:p w14:paraId="4BAC9850" w14:textId="77777777" w:rsidR="002E7E10" w:rsidRDefault="002E7E10">
      <w:pPr>
        <w:rPr>
          <w:rFonts w:cstheme="minorHAnsi"/>
        </w:rPr>
      </w:pPr>
    </w:p>
    <w:p w14:paraId="6AEEF06D" w14:textId="77777777" w:rsidR="0022122A" w:rsidRPr="0022122A" w:rsidRDefault="0022122A" w:rsidP="0022122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2"/>
          <w:szCs w:val="22"/>
        </w:rPr>
      </w:pPr>
      <w:r w:rsidRPr="0022122A">
        <w:rPr>
          <w:rFonts w:asciiTheme="minorHAnsi" w:hAnsiTheme="minorHAnsi" w:cstheme="minorHAnsi"/>
          <w:b/>
          <w:bCs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76606426" w14:textId="77777777" w:rsidR="0022122A" w:rsidRPr="0022122A" w:rsidRDefault="0022122A">
      <w:pPr>
        <w:rPr>
          <w:rFonts w:cstheme="minorHAnsi"/>
        </w:rPr>
      </w:pPr>
    </w:p>
    <w:p w14:paraId="74192151" w14:textId="31267FBD" w:rsidR="0022122A" w:rsidRPr="0022122A" w:rsidRDefault="0022122A">
      <w:pPr>
        <w:rPr>
          <w:rFonts w:cstheme="minorHAnsi"/>
        </w:rPr>
      </w:pPr>
      <w:r w:rsidRPr="0022122A">
        <w:rPr>
          <w:rFonts w:cstheme="minorHAnsi"/>
        </w:rPr>
        <w:t xml:space="preserve">A box and whisker plot can be used to </w:t>
      </w:r>
      <w:r w:rsidRPr="0022122A">
        <w:rPr>
          <w:rFonts w:cstheme="minorHAnsi"/>
        </w:rPr>
        <w:t>help identify outliers and understand the variability within each category</w:t>
      </w:r>
      <w:r w:rsidRPr="0022122A">
        <w:rPr>
          <w:rFonts w:cstheme="minorHAnsi"/>
        </w:rPr>
        <w:t xml:space="preserve">. Also, a pie chart can be used to illustrate the distribution of campaigns based on their goal amount so that we can tell the </w:t>
      </w:r>
      <w:r w:rsidRPr="0022122A">
        <w:rPr>
          <w:rFonts w:cstheme="minorHAnsi"/>
        </w:rPr>
        <w:t>proportion of campaign</w:t>
      </w:r>
      <w:r w:rsidRPr="0022122A">
        <w:rPr>
          <w:rFonts w:cstheme="minorHAnsi"/>
        </w:rPr>
        <w:t xml:space="preserve">s’ funding </w:t>
      </w:r>
      <w:r w:rsidRPr="0022122A">
        <w:rPr>
          <w:rFonts w:cstheme="minorHAnsi"/>
        </w:rPr>
        <w:t>in each category.</w:t>
      </w:r>
    </w:p>
    <w:p w14:paraId="463C3652" w14:textId="77777777" w:rsidR="0022122A" w:rsidRDefault="0022122A"/>
    <w:p w14:paraId="13EA6BA8" w14:textId="43D29E12" w:rsidR="0022122A" w:rsidRDefault="0022122A"/>
    <w:sectPr w:rsidR="0022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B24"/>
    <w:multiLevelType w:val="multilevel"/>
    <w:tmpl w:val="C4CA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F7643"/>
    <w:multiLevelType w:val="hybridMultilevel"/>
    <w:tmpl w:val="5344CD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43689">
    <w:abstractNumId w:val="0"/>
  </w:num>
  <w:num w:numId="2" w16cid:durableId="139161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17"/>
    <w:rsid w:val="00130417"/>
    <w:rsid w:val="0022122A"/>
    <w:rsid w:val="002E7E10"/>
    <w:rsid w:val="00315F37"/>
    <w:rsid w:val="009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187F"/>
  <w15:chartTrackingRefBased/>
  <w15:docId w15:val="{B959E30A-05B9-4125-9120-5B544D7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2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Lian</dc:creator>
  <cp:keywords/>
  <dc:description/>
  <cp:lastModifiedBy>Shan Lian</cp:lastModifiedBy>
  <cp:revision>2</cp:revision>
  <dcterms:created xsi:type="dcterms:W3CDTF">2023-11-02T21:25:00Z</dcterms:created>
  <dcterms:modified xsi:type="dcterms:W3CDTF">2023-11-03T02:43:00Z</dcterms:modified>
</cp:coreProperties>
</file>