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79" w:rsidRDefault="00D530E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63850" cy="156400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27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2975610</wp:posOffset>
            </wp:positionH>
            <wp:positionV relativeFrom="paragraph">
              <wp:posOffset>120650</wp:posOffset>
            </wp:positionV>
            <wp:extent cx="3096260" cy="1429385"/>
            <wp:effectExtent l="0" t="0" r="889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279" w:rsidRPr="00537279" w:rsidRDefault="00537279" w:rsidP="00537279"/>
    <w:p w:rsidR="00537279" w:rsidRPr="00537279" w:rsidRDefault="00537279" w:rsidP="00537279"/>
    <w:p w:rsidR="00537279" w:rsidRPr="00537279" w:rsidRDefault="00537279" w:rsidP="00537279"/>
    <w:p w:rsidR="00537279" w:rsidRPr="00537279" w:rsidRDefault="00537279" w:rsidP="00537279"/>
    <w:p w:rsidR="00537279" w:rsidRPr="00537279" w:rsidRDefault="00537279" w:rsidP="00537279">
      <w:pPr>
        <w:rPr>
          <w:rFonts w:hint="eastAsia"/>
        </w:rPr>
      </w:pPr>
    </w:p>
    <w:p w:rsidR="00537279" w:rsidRPr="00537279" w:rsidRDefault="00537279" w:rsidP="00537279"/>
    <w:p w:rsidR="00537279" w:rsidRDefault="00537279" w:rsidP="00537279">
      <w:pPr>
        <w:tabs>
          <w:tab w:val="left" w:pos="1820"/>
        </w:tabs>
        <w:rPr>
          <w:rFonts w:hint="eastAsia"/>
        </w:rPr>
      </w:pPr>
    </w:p>
    <w:p w:rsidR="00537279" w:rsidRDefault="00537279" w:rsidP="00537279">
      <w:pPr>
        <w:tabs>
          <w:tab w:val="left" w:pos="1820"/>
        </w:tabs>
      </w:pPr>
      <w:r>
        <w:rPr>
          <w:rFonts w:hint="eastAsia"/>
        </w:rPr>
        <w:t>图1：二极管正向导电性</w:t>
      </w:r>
      <w:r>
        <w:tab/>
      </w:r>
      <w:r>
        <w:tab/>
      </w:r>
      <w:r>
        <w:tab/>
        <w:t xml:space="preserve">               </w:t>
      </w:r>
      <w:r>
        <w:rPr>
          <w:rFonts w:hint="eastAsia"/>
        </w:rPr>
        <w:t>图2: 二极管反向导电性</w:t>
      </w:r>
    </w:p>
    <w:p w:rsidR="00537279" w:rsidRDefault="00537279" w:rsidP="00537279">
      <w:pPr>
        <w:tabs>
          <w:tab w:val="left" w:pos="182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38633" cy="191506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50" cy="191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bookmarkStart w:id="0" w:name="_GoBack"/>
      <w:bookmarkEnd w:id="0"/>
    </w:p>
    <w:p w:rsidR="00537279" w:rsidRDefault="00537279" w:rsidP="00537279">
      <w:pPr>
        <w:tabs>
          <w:tab w:val="left" w:pos="1820"/>
        </w:tabs>
      </w:pPr>
      <w:r>
        <w:rPr>
          <w:rFonts w:hint="eastAsia"/>
        </w:rPr>
        <w:t>图3：限幅特性电路图</w:t>
      </w:r>
    </w:p>
    <w:p w:rsidR="00537279" w:rsidRDefault="00537279" w:rsidP="00537279">
      <w:pPr>
        <w:tabs>
          <w:tab w:val="left" w:pos="1820"/>
        </w:tabs>
      </w:pPr>
      <w:r>
        <w:rPr>
          <w:rFonts w:hint="eastAsia"/>
          <w:noProof/>
        </w:rPr>
        <w:drawing>
          <wp:inline distT="0" distB="0" distL="0" distR="0" wp14:anchorId="5241DEC9" wp14:editId="440CB4BD">
            <wp:extent cx="4208271" cy="261380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21" cy="26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79" w:rsidRDefault="00537279" w:rsidP="00537279">
      <w:pPr>
        <w:tabs>
          <w:tab w:val="left" w:pos="1820"/>
        </w:tabs>
        <w:rPr>
          <w:rFonts w:hint="eastAsia"/>
        </w:rPr>
      </w:pPr>
      <w:r>
        <w:rPr>
          <w:rFonts w:hint="eastAsia"/>
        </w:rPr>
        <w:t>图1：单机交流放大器电路原理图</w:t>
      </w:r>
    </w:p>
    <w:p w:rsidR="00537279" w:rsidRPr="00537279" w:rsidRDefault="00537279" w:rsidP="00537279">
      <w:pPr>
        <w:spacing w:line="400" w:lineRule="exact"/>
        <w:ind w:leftChars="100" w:left="210" w:firstLine="435"/>
        <w:rPr>
          <w:rFonts w:ascii="宋体" w:hAnsi="宋体" w:hint="eastAsia"/>
          <w:color w:val="FF0000"/>
        </w:rPr>
      </w:pPr>
      <w:r w:rsidRPr="00537279">
        <w:rPr>
          <w:rFonts w:ascii="宋体" w:hAnsi="宋体"/>
          <w:noProof/>
          <w:color w:val="FF0000"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172720</wp:posOffset>
                </wp:positionV>
                <wp:extent cx="2286000" cy="594360"/>
                <wp:effectExtent l="9525" t="10795" r="9525" b="1397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594360"/>
                          <a:chOff x="2934" y="7368"/>
                          <a:chExt cx="3600" cy="936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934" y="7368"/>
                            <a:ext cx="54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7279" w:rsidRDefault="00537279" w:rsidP="00537279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信号源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194" y="7368"/>
                            <a:ext cx="54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7279" w:rsidRDefault="00537279" w:rsidP="00537279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放大器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994" y="7368"/>
                            <a:ext cx="54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7279" w:rsidRDefault="00537279" w:rsidP="00537279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示波器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474" y="752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474" y="799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734" y="752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734" y="7992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" o:spid="_x0000_s1026" style="position:absolute;left:0;text-align:left;margin-left:81pt;margin-top:13.6pt;width:180pt;height:46.8pt;z-index:251661312" coordorigin="2934,7368" coordsize="360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">
                <v:rect id="Rectangle 23" o:spid="_x0000_s1027" style="position:absolute;left:2934;top:7368;width:54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537279" w:rsidRDefault="00537279" w:rsidP="00537279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信号源</w:t>
                        </w:r>
                      </w:p>
                    </w:txbxContent>
                  </v:textbox>
                </v:rect>
                <v:rect id="Rectangle 24" o:spid="_x0000_s1028" style="position:absolute;left:4194;top:7368;width:54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537279" w:rsidRDefault="00537279" w:rsidP="00537279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放大器</w:t>
                        </w:r>
                      </w:p>
                    </w:txbxContent>
                  </v:textbox>
                </v:rect>
                <v:rect id="Rectangle 25" o:spid="_x0000_s1029" style="position:absolute;left:5994;top:7368;width:54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537279" w:rsidRDefault="00537279" w:rsidP="00537279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示波器</w:t>
                        </w:r>
                      </w:p>
                    </w:txbxContent>
                  </v:textbox>
                </v:rect>
                <v:line id="Line 26" o:spid="_x0000_s1030" style="position:absolute;visibility:visible;mso-wrap-style:square" from="3474,7524" to="4194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27" o:spid="_x0000_s1031" style="position:absolute;visibility:visible;mso-wrap-style:square" from="3474,7992" to="4194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28" o:spid="_x0000_s1032" style="position:absolute;visibility:visible;mso-wrap-style:square" from="4734,7524" to="5994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9" o:spid="_x0000_s1033" style="position:absolute;visibility:visible;mso-wrap-style:square" from="4734,7992" to="5994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/v:group>
            </w:pict>
          </mc:Fallback>
        </mc:AlternateContent>
      </w:r>
    </w:p>
    <w:p w:rsidR="00537279" w:rsidRPr="00537279" w:rsidRDefault="00537279" w:rsidP="00537279">
      <w:pPr>
        <w:spacing w:line="400" w:lineRule="exact"/>
        <w:ind w:leftChars="100" w:left="210" w:firstLine="435"/>
        <w:rPr>
          <w:rFonts w:ascii="宋体" w:hAnsi="宋体" w:hint="eastAsia"/>
          <w:color w:val="FF0000"/>
        </w:rPr>
      </w:pPr>
      <w:r w:rsidRPr="00537279">
        <w:rPr>
          <w:rFonts w:ascii="宋体" w:hAnsi="宋体" w:hint="eastAsia"/>
          <w:color w:val="FF0000"/>
        </w:rPr>
        <w:t xml:space="preserve">                 V</w:t>
      </w:r>
      <w:r w:rsidRPr="00537279">
        <w:rPr>
          <w:rFonts w:ascii="宋体" w:hAnsi="宋体" w:hint="eastAsia"/>
          <w:color w:val="FF0000"/>
          <w:vertAlign w:val="subscript"/>
        </w:rPr>
        <w:t>i</w:t>
      </w:r>
      <w:r w:rsidRPr="00537279">
        <w:rPr>
          <w:rFonts w:ascii="宋体" w:hAnsi="宋体" w:hint="eastAsia"/>
          <w:color w:val="FF0000"/>
        </w:rPr>
        <w:t xml:space="preserve">             V</w:t>
      </w:r>
      <w:r w:rsidRPr="00537279">
        <w:rPr>
          <w:rFonts w:ascii="宋体" w:hAnsi="宋体" w:hint="eastAsia"/>
          <w:color w:val="FF0000"/>
          <w:vertAlign w:val="subscript"/>
        </w:rPr>
        <w:t>o</w:t>
      </w:r>
      <w:r w:rsidRPr="00537279">
        <w:rPr>
          <w:rFonts w:ascii="宋体" w:hAnsi="宋体" w:hint="eastAsia"/>
          <w:color w:val="FF0000"/>
        </w:rPr>
        <w:t xml:space="preserve">                                                                          </w:t>
      </w:r>
    </w:p>
    <w:p w:rsidR="00537279" w:rsidRPr="00537279" w:rsidRDefault="00537279" w:rsidP="00537279">
      <w:pPr>
        <w:spacing w:line="400" w:lineRule="exact"/>
        <w:ind w:leftChars="100" w:left="210" w:firstLine="435"/>
        <w:rPr>
          <w:rFonts w:ascii="宋体" w:hAnsi="宋体" w:hint="eastAsia"/>
          <w:color w:val="FF0000"/>
        </w:rPr>
      </w:pPr>
    </w:p>
    <w:p w:rsidR="00537279" w:rsidRPr="00537279" w:rsidRDefault="00537279" w:rsidP="00537279">
      <w:pPr>
        <w:spacing w:line="400" w:lineRule="exact"/>
        <w:ind w:leftChars="100" w:left="210" w:firstLineChars="1007" w:firstLine="2115"/>
        <w:rPr>
          <w:rFonts w:ascii="宋体" w:hAnsi="宋体" w:hint="eastAsia"/>
        </w:rPr>
      </w:pPr>
      <w:r w:rsidRPr="00537279">
        <w:rPr>
          <w:rFonts w:ascii="宋体" w:hAnsi="宋体" w:hint="eastAsia"/>
          <w:color w:val="FF0000"/>
        </w:rPr>
        <w:t>图</w:t>
      </w:r>
      <w:r w:rsidRPr="00537279">
        <w:rPr>
          <w:rFonts w:ascii="宋体" w:hAnsi="宋体"/>
          <w:color w:val="FF0000"/>
        </w:rPr>
        <w:t>2</w:t>
      </w:r>
      <w:r w:rsidRPr="00537279">
        <w:rPr>
          <w:rFonts w:ascii="宋体" w:hAnsi="宋体" w:hint="eastAsia"/>
          <w:color w:val="FF0000"/>
        </w:rPr>
        <w:t xml:space="preserve">   </w:t>
      </w:r>
      <w:r w:rsidRPr="00537279">
        <w:rPr>
          <w:rFonts w:ascii="宋体" w:hAnsi="宋体" w:hint="eastAsia"/>
          <w:color w:val="FF0000"/>
        </w:rPr>
        <w:t>放大倍数测试电路</w:t>
      </w:r>
    </w:p>
    <w:p w:rsidR="00537279" w:rsidRDefault="00537279" w:rsidP="00537279">
      <w:pPr>
        <w:tabs>
          <w:tab w:val="left" w:pos="1820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4743450" cy="30099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79" w:rsidRDefault="00537279" w:rsidP="00537279">
      <w:pPr>
        <w:tabs>
          <w:tab w:val="left" w:pos="1820"/>
        </w:tabs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102391</wp:posOffset>
            </wp:positionH>
            <wp:positionV relativeFrom="paragraph">
              <wp:posOffset>2846430</wp:posOffset>
            </wp:positionV>
            <wp:extent cx="3283585" cy="2173605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-970</wp:posOffset>
            </wp:positionH>
            <wp:positionV relativeFrom="paragraph">
              <wp:posOffset>310778</wp:posOffset>
            </wp:positionV>
            <wp:extent cx="3131185" cy="2132330"/>
            <wp:effectExtent l="0" t="0" r="0" b="127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3240034</wp:posOffset>
            </wp:positionH>
            <wp:positionV relativeFrom="paragraph">
              <wp:posOffset>297815</wp:posOffset>
            </wp:positionV>
            <wp:extent cx="3176270" cy="2009775"/>
            <wp:effectExtent l="0" t="0" r="5080" b="9525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图1：电压串联负反馈放大器电路图</w:t>
      </w:r>
    </w:p>
    <w:p w:rsidR="00537279" w:rsidRDefault="00537279" w:rsidP="00537279">
      <w:pPr>
        <w:tabs>
          <w:tab w:val="left" w:pos="1820"/>
        </w:tabs>
      </w:pPr>
      <w:r w:rsidRPr="00537279">
        <w:lastRenderedPageBreak/>
        <w:drawing>
          <wp:inline distT="0" distB="0" distL="0" distR="0" wp14:anchorId="730B8487" wp14:editId="40DEA42C">
            <wp:extent cx="4899804" cy="2739227"/>
            <wp:effectExtent l="0" t="0" r="0" b="4445"/>
            <wp:docPr id="72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7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29" cy="274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530EC" w:rsidRDefault="00D530EC" w:rsidP="00537279">
      <w:pPr>
        <w:tabs>
          <w:tab w:val="left" w:pos="1820"/>
        </w:tabs>
        <w:rPr>
          <w:rFonts w:hint="eastAsia"/>
        </w:rPr>
      </w:pPr>
      <w:r>
        <w:rPr>
          <w:rFonts w:hint="eastAsia"/>
        </w:rPr>
        <w:t>图2：正交振荡器</w:t>
      </w:r>
    </w:p>
    <w:p w:rsidR="00537279" w:rsidRDefault="00537279" w:rsidP="00537279">
      <w:pPr>
        <w:tabs>
          <w:tab w:val="left" w:pos="1820"/>
        </w:tabs>
      </w:pPr>
      <w:r w:rsidRPr="00537279">
        <w:object w:dxaOrig="10350" w:dyaOrig="5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9pt;height:230.25pt" o:ole="">
            <v:imagedata r:id="rId13" o:title=""/>
          </v:shape>
          <o:OLEObject Type="Embed" ProgID="PBrush" ShapeID="_x0000_i1025" DrawAspect="Content" ObjectID="_1603041829" r:id="rId14"/>
        </w:object>
      </w:r>
    </w:p>
    <w:p w:rsidR="00D530EC" w:rsidRPr="00537279" w:rsidRDefault="00D530EC" w:rsidP="00537279">
      <w:pPr>
        <w:tabs>
          <w:tab w:val="left" w:pos="1820"/>
        </w:tabs>
        <w:rPr>
          <w:rFonts w:hint="eastAsia"/>
        </w:rPr>
      </w:pPr>
      <w:r>
        <w:rPr>
          <w:rFonts w:hint="eastAsia"/>
        </w:rPr>
        <w:t>图1：脉冲宽度调制器</w:t>
      </w:r>
    </w:p>
    <w:sectPr w:rsidR="00D530EC" w:rsidRPr="00537279" w:rsidSect="005372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57"/>
    <w:rsid w:val="00537279"/>
    <w:rsid w:val="006336CF"/>
    <w:rsid w:val="006D7A79"/>
    <w:rsid w:val="00AD7357"/>
    <w:rsid w:val="00D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1207"/>
  <w15:chartTrackingRefBased/>
  <w15:docId w15:val="{DE379E8F-56A3-4EC9-B571-42720F1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俊华</dc:creator>
  <cp:keywords/>
  <dc:description/>
  <cp:lastModifiedBy>张 俊华</cp:lastModifiedBy>
  <cp:revision>2</cp:revision>
  <dcterms:created xsi:type="dcterms:W3CDTF">2018-11-06T12:25:00Z</dcterms:created>
  <dcterms:modified xsi:type="dcterms:W3CDTF">2018-11-06T12:37:00Z</dcterms:modified>
</cp:coreProperties>
</file>