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w:t>
      </w:r>
      <w:r>
        <w:rPr>
          <w:rFonts w:hint="eastAsia"/>
          <w:lang w:val="en-US" w:eastAsia="zh-CN"/>
        </w:rPr>
        <w:t>图8</w:t>
      </w:r>
      <w:r>
        <w:t>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rPr>
          <w:b/>
          <w:sz w:val="28"/>
        </w:rP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rPr>
          <w:b/>
          <w:sz w:val="28"/>
        </w:rP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需要指出的是，经初步测算，10个区域现有充电设施在车次服务能力上已能满足预测需求（供需缺口均为零），问题二的核心矛盾并非建设数量不足，而是充电桩在空间上的地理覆盖率偏低——当前平均覆盖率仅54.6%，远低于附件5要求的90%下限。因此，问题二新增充电桩的主要目标是扩大服务覆盖面积，而非增加服务容量。</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供需缺口计算结果显示：10个区域的现有充电服务能力（3,640-12,040车次/日）均大于预测车次需求（626-1,498车次/日），充电服务能力缺口全部为零——现有充电桩在数量上已能满足未来充电车次需求。然而，充电服务能力充裕并不等于充电服务可及：当前10个区域平均地理覆盖率仅54.6%，充电设施在空间分布上存在显著盲区，部分区域（如姚店镇19.9%、柳林镇25.0%）远未达到附件5要求的90%覆盖标准。因此，问题二新增充电桩的本质目标是从容量满足转向空间覆盖——通过优化新增桩位的地理分布，将充电服务从"数量够"提升至"覆盖广"。</w:t>
      </w:r>
    </w:p>
    <w:p w14:paraId="47DF147A">
      <w:pPr>
        <w:spacing w:line="360" w:lineRule="auto"/>
        <w:ind w:firstLine="480"/>
      </w:pPr>
      <w:r>
        <w:rPr>
          <w:b/>
          <w:sz w:val="28"/>
        </w:rPr>
        <w:t>为进一步量化各区域的建设紧迫程度，构建建设紧迫度指数U_i。该指标综合需求缺口率、电网负载率和当前覆盖率缺口三项因子。经计算，所有区域现有充电服务能力均大于预测车次需求，供需缺口为零，熵权法自动将缺口率因子权重置零，实际有效因子为两项——覆盖率不足（权重0.549）和电网压力（权重0.451）。各区域建设紧迫度排序如图</w:t>
      </w:r>
      <w:r>
        <w:rPr>
          <w:rFonts w:hint="eastAsia"/>
          <w:b/>
          <w:sz w:val="28"/>
          <w:lang w:val="en-US" w:eastAsia="zh-CN"/>
        </w:rPr>
        <w:t>10</w:t>
      </w:r>
      <w:r>
        <w:rPr>
          <w:b/>
          <w:sz w:val="28"/>
        </w:rP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rPr>
          <w:b/>
          <w:sz w:val="28"/>
        </w:rP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b/>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E026674">
      <w:pPr>
        <w:jc w:val="center"/>
      </w:pPr>
      <w:r>
        <w:drawing>
          <wp:inline distT="0" distB="0" distL="0" distR="0">
            <wp:extent cx="5039995" cy="1495425"/>
            <wp:effectExtent l="0" t="0" r="1905" b="3175"/>
            <wp:docPr id="4830" name="img"/>
            <wp:cNvGraphicFramePr/>
            <a:graphic xmlns:a="http://schemas.openxmlformats.org/drawingml/2006/main">
              <a:graphicData uri="http://schemas.openxmlformats.org/drawingml/2006/picture">
                <pic:pic xmlns:pic="http://schemas.openxmlformats.org/drawingml/2006/picture">
                  <pic:nvPicPr>
                    <pic:cNvPr id="4830" name="img"/>
                    <pic:cNvPicPr/>
                  </pic:nvPicPr>
                  <pic:blipFill>
                    <a:blip r:embed="rId19"/>
                    <a:stretch>
                      <a:fillRect/>
                    </a:stretch>
                  </pic:blipFill>
                  <pic:spPr>
                    <a:xfrm>
                      <a:off x="0" y="0"/>
                      <a:ext cx="5040000" cy="1495570"/>
                    </a:xfrm>
                    <a:prstGeom prst="rect">
                      <a:avLst/>
                    </a:prstGeom>
                  </pic:spPr>
                </pic:pic>
              </a:graphicData>
            </a:graphic>
          </wp:inline>
        </w:drawing>
      </w:r>
    </w:p>
    <w:p w14:paraId="757F7FEC">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3804D4AB">
      <w:pPr>
        <w:spacing w:line="360" w:lineRule="auto"/>
        <w:ind w:firstLine="480"/>
        <w:rPr>
          <w:rFonts w:hint="eastAsia" w:eastAsia="宋体"/>
          <w:lang w:eastAsia="zh-CN"/>
        </w:rPr>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rPr>
          <w:b/>
          <w:sz w:val="28"/>
        </w:rP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b/>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1727CCE2">
      <w:pPr>
        <w:jc w:val="center"/>
      </w:pPr>
      <w:r>
        <w:drawing>
          <wp:inline distT="0" distB="0" distL="0" distR="0">
            <wp:extent cx="5039995" cy="2037715"/>
            <wp:effectExtent l="0" t="0" r="1905" b="6985"/>
            <wp:docPr id="8119" name="img"/>
            <wp:cNvGraphicFramePr/>
            <a:graphic xmlns:a="http://schemas.openxmlformats.org/drawingml/2006/main">
              <a:graphicData uri="http://schemas.openxmlformats.org/drawingml/2006/picture">
                <pic:pic xmlns:pic="http://schemas.openxmlformats.org/drawingml/2006/picture">
                  <pic:nvPicPr>
                    <pic:cNvPr id="8119" name="img"/>
                    <pic:cNvPicPr/>
                  </pic:nvPicPr>
                  <pic:blipFill>
                    <a:blip r:embed="rId20"/>
                    <a:stretch>
                      <a:fillRect/>
                    </a:stretch>
                  </pic:blipFill>
                  <pic:spPr>
                    <a:xfrm>
                      <a:off x="0" y="0"/>
                      <a:ext cx="5040000" cy="2037726"/>
                    </a:xfrm>
                    <a:prstGeom prst="rect">
                      <a:avLst/>
                    </a:prstGeom>
                  </pic:spPr>
                </pic:pic>
              </a:graphicData>
            </a:graphic>
          </wp:inline>
        </w:drawing>
      </w:r>
    </w:p>
    <w:p w14:paraId="11D45FB6">
      <w:pPr>
        <w:jc w:val="both"/>
      </w:pPr>
      <w:r>
        <w:rPr>
          <w:b/>
          <w:sz w:val="28"/>
        </w:rPr>
        <w:t>图</w:t>
      </w:r>
      <w:r>
        <w:rPr>
          <w:rFonts w:hint="eastAsia"/>
          <w:b/>
          <w:sz w:val="28"/>
          <w:lang w:val="en-US" w:eastAsia="zh-CN"/>
        </w:rPr>
        <w:t>13</w:t>
      </w:r>
      <w:r>
        <w:rPr>
          <w:b/>
          <w:sz w:val="2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根据熵权-TOPSIS综合评价结果，方案#56被选定为最终推荐方案。方案总计新增快充桩6台、慢充桩48台，总投资74.4万元。各区域配置数量如</w:t>
      </w:r>
      <w:r>
        <w:rPr>
          <w:highlight w:val="green"/>
        </w:rPr>
        <w:t>表4-1</w:t>
      </w:r>
      <w:r>
        <w:t>所示。</w:t>
      </w:r>
    </w:p>
    <w:p w14:paraId="1CDA1F98">
      <w:pPr>
        <w:jc w:val="center"/>
      </w:pPr>
      <w:r>
        <w:drawing>
          <wp:inline distT="0" distB="0" distL="0" distR="0">
            <wp:extent cx="5039995" cy="1873885"/>
            <wp:effectExtent l="0" t="0" r="1905" b="5715"/>
            <wp:docPr id="7535" name="img"/>
            <wp:cNvGraphicFramePr/>
            <a:graphic xmlns:a="http://schemas.openxmlformats.org/drawingml/2006/main">
              <a:graphicData uri="http://schemas.openxmlformats.org/drawingml/2006/picture">
                <pic:pic xmlns:pic="http://schemas.openxmlformats.org/drawingml/2006/picture">
                  <pic:nvPicPr>
                    <pic:cNvPr id="7535" name="img"/>
                    <pic:cNvPicPr/>
                  </pic:nvPicPr>
                  <pic:blipFill>
                    <a:blip r:embed="rId21"/>
                    <a:stretch>
                      <a:fillRect/>
                    </a:stretch>
                  </pic:blipFill>
                  <pic:spPr>
                    <a:xfrm>
                      <a:off x="0" y="0"/>
                      <a:ext cx="5040000" cy="1874135"/>
                    </a:xfrm>
                    <a:prstGeom prst="rect">
                      <a:avLst/>
                    </a:prstGeom>
                  </pic:spPr>
                </pic:pic>
              </a:graphicData>
            </a:graphic>
          </wp:inline>
        </w:drawing>
      </w:r>
    </w:p>
    <w:p w14:paraId="39AB5177">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08D23EDC">
      <w:pPr>
        <w:spacing w:line="360" w:lineRule="auto"/>
        <w:ind w:firstLine="480"/>
      </w:pPr>
      <w:r>
        <w:t>区域配置呈现差异化特征：（1）核心城区以存量优化为主——宝塔山街道和南市街道各新增慢充桩2-3台，以低成本填补覆盖缺口。（2）快充集中部署在高流量节点——凤凰山街道和姚店镇各新增快充桩2台和1台，新城街道新增快充桩2台，李渠镇新增快充桩1台，6台快充桩精准部署在充电需求旺盛的城市新区和文旅商业区。（3）城郊大面积区域以慢充覆盖为主——枣园街道新增慢充桩15台为全市之最（面积110.1 km²、当前覆盖率50.0%），桥沟街道、柳林镇、河庄坪镇各新增慢充桩6-8台。快慢充数量比1:8，总投资中快充占48.4%——快充桩以较少数量承担高流量节点的快速补能需求，慢充桩以低成本实现地理覆盖面的广泛延伸。各区域优化后配置如图14所示。郊/工业区快慢结合——姚店镇以快充为主（16台快充、0台慢充），配合其周末需求为工作日1.85倍的文旅消费特征。优化后各区域配置如图</w:t>
      </w:r>
      <w:r>
        <w:rPr>
          <w:rFonts w:hint="eastAsia"/>
          <w:lang w:val="en-US" w:eastAsia="zh-CN"/>
        </w:rPr>
        <w:t>14</w:t>
      </w:r>
      <w:r>
        <w:t>所示。</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98.2%，覆盖率不达标区域数从10个降至0个。新增充电负荷对各区域电网的影响有限——各区域电网总容量（15.2-35.2万kW）远大于充电峰值负荷，负荷率方差维持在0.000007的极低水平。总投资74.4万元，快充桩6台（36万元）、慢充桩48台（38.4万元），快充桩以11.1%的数量占比承担了33.3%的服务能力（480 vs 960车次/日）。过载风险区域数优化前后均维持在1个（姚店镇原始峰值2,214 kW已超过2,100 kW阈值），其余9个区域均未触及2,100 kW。方案#56在98.2%地理覆盖率下实现了经济性、服务性与安全性的均衡最优。</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rPr>
          <w:b/>
          <w:bCs w:val="0"/>
        </w:rPr>
      </w:pPr>
      <w:r>
        <w:rPr>
          <w:rFonts w:hint="eastAsia" w:ascii="黑体" w:hAnsi="黑体" w:eastAsia="黑体" w:cs="黑体"/>
          <w:b/>
          <w:bCs w:val="0"/>
          <w:sz w:val="28"/>
          <w:szCs w:val="28"/>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rPr>
          <w:b/>
          <w:bCs w:val="0"/>
        </w:rPr>
      </w:pPr>
      <w:r>
        <w:rPr>
          <w:rFonts w:hint="eastAsia" w:ascii="黑体" w:hAnsi="黑体" w:eastAsia="黑体" w:cs="黑体"/>
          <w:b/>
          <w:bCs w:val="0"/>
          <w:sz w:val="28"/>
          <w:szCs w:val="28"/>
        </w:rPr>
        <w:t>5.2 峰谷差计算与负荷转移模型</w:t>
      </w:r>
    </w:p>
    <w:p w14:paraId="44A476F3">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rPr>
          <w:rFonts w:hint="eastAsia" w:ascii="黑体" w:hAnsi="黑体" w:eastAsia="黑体" w:cs="黑体"/>
          <w:b/>
          <w:bCs w:val="0"/>
          <w:sz w:val="28"/>
          <w:szCs w:val="28"/>
        </w:rPr>
      </w:pPr>
      <w:r>
        <w:rPr>
          <w:rFonts w:hint="eastAsia" w:ascii="黑体" w:hAnsi="黑体" w:eastAsia="黑体" w:cs="黑体"/>
          <w:b/>
          <w:bCs w:val="0"/>
          <w:sz w:val="28"/>
          <w:szCs w:val="28"/>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rPr>
          <w:b/>
          <w:bCs w:val="0"/>
        </w:rPr>
      </w:pPr>
      <w:r>
        <w:rPr>
          <w:rFonts w:hint="eastAsia" w:ascii="黑体" w:hAnsi="黑体" w:eastAsia="黑体" w:cs="黑体"/>
          <w:b/>
          <w:bCs w:val="0"/>
          <w:sz w:val="28"/>
          <w:szCs w:val="28"/>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rPr>
          <w:rFonts w:hint="eastAsia" w:ascii="黑体" w:hAnsi="黑体" w:eastAsia="黑体" w:cs="黑体"/>
          <w:b/>
          <w:bCs w:val="0"/>
          <w:sz w:val="28"/>
          <w:szCs w:val="28"/>
        </w:rPr>
      </w:pPr>
      <w:r>
        <w:rPr>
          <w:rFonts w:hint="eastAsia" w:ascii="黑体" w:hAnsi="黑体" w:eastAsia="黑体" w:cs="黑体"/>
          <w:b/>
          <w:bCs w:val="0"/>
          <w:sz w:val="28"/>
          <w:szCs w:val="28"/>
        </w:rPr>
        <w:t>5.5 结果与分析</w:t>
      </w:r>
    </w:p>
    <w:p w14:paraId="3B888FB7">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16455"/>
            <wp:effectExtent l="0" t="0" r="1270" b="4445"/>
            <wp:docPr id="2" name="图片 2"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5_全市调度前后负荷曲线对比"/>
                    <pic:cNvPicPr>
                      <a:picLocks noChangeAspect="1"/>
                    </pic:cNvPicPr>
                  </pic:nvPicPr>
                  <pic:blipFill>
                    <a:blip r:embed="rId22"/>
                    <a:stretch>
                      <a:fillRect/>
                    </a:stretch>
                  </pic:blipFill>
                  <pic:spPr>
                    <a:xfrm>
                      <a:off x="0" y="0"/>
                      <a:ext cx="5726430" cy="211645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5.5.3 各区域差异化效果</w:t>
      </w:r>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7" name="图片 7"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6_各区域峰谷差降低率"/>
                    <pic:cNvPicPr>
                      <a:picLocks noChangeAspect="1"/>
                    </pic:cNvPicPr>
                  </pic:nvPicPr>
                  <pic:blipFill>
                    <a:blip r:embed="rId23"/>
                    <a:stretch>
                      <a:fillRect/>
                    </a:stretch>
                  </pic:blipFill>
                  <pic:spPr>
                    <a:xfrm>
                      <a:off x="0" y="0"/>
                      <a:ext cx="5723890" cy="236347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rPr>
          <w:rFonts w:hint="eastAsia" w:ascii="黑体" w:hAnsi="黑体" w:eastAsia="黑体" w:cs="黑体"/>
          <w:b w:val="0"/>
          <w:bCs/>
          <w:sz w:val="28"/>
          <w:szCs w:val="28"/>
        </w:rPr>
      </w:pPr>
      <w:r>
        <w:rPr>
          <w:rFonts w:hint="eastAsia" w:ascii="黑体" w:hAnsi="黑体" w:eastAsia="黑体" w:cs="黑体"/>
          <w:b w:val="0"/>
          <w:bCs/>
          <w:sz w:val="28"/>
          <w:szCs w:val="28"/>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eastAsia="宋体"/>
          <w:sz w:val="24"/>
        </w:rPr>
        <w:drawing>
          <wp:inline distT="0" distB="0" distL="114300" distR="114300">
            <wp:extent cx="5715000" cy="3699510"/>
            <wp:effectExtent l="0" t="0" r="0" b="8890"/>
            <wp:docPr id="8" name="图片 8"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7_各区域分面负荷曲线"/>
                    <pic:cNvPicPr>
                      <a:picLocks noChangeAspect="1"/>
                    </pic:cNvPicPr>
                  </pic:nvPicPr>
                  <pic:blipFill>
                    <a:blip r:embed="rId24"/>
                    <a:stretch>
                      <a:fillRect/>
                    </a:stretch>
                  </pic:blipFill>
                  <pic:spPr>
                    <a:xfrm>
                      <a:off x="0" y="0"/>
                      <a:ext cx="5715000" cy="3699510"/>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eastAsia="宋体"/>
          <w:sz w:val="24"/>
        </w:rPr>
      </w:pPr>
      <w:r>
        <w:rPr>
          <w:rFonts w:eastAsia="宋体"/>
          <w:sz w:val="24"/>
        </w:rPr>
        <w:drawing>
          <wp:inline distT="0" distB="0" distL="114300" distR="114300">
            <wp:extent cx="5726430" cy="2331720"/>
            <wp:effectExtent l="0" t="0" r="1270" b="5080"/>
            <wp:docPr id="11" name="图片 11"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8_各区域峰谷差对比"/>
                    <pic:cNvPicPr>
                      <a:picLocks noChangeAspect="1"/>
                    </pic:cNvPicPr>
                  </pic:nvPicPr>
                  <pic:blipFill>
                    <a:blip r:embed="rId25"/>
                    <a:stretch>
                      <a:fillRect/>
                    </a:stretch>
                  </pic:blipFill>
                  <pic:spPr>
                    <a:xfrm>
                      <a:off x="0" y="0"/>
                      <a:ext cx="5726430" cy="233172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12" name="图片 12"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9_过载风险消除效果"/>
                    <pic:cNvPicPr>
                      <a:picLocks noChangeAspect="1"/>
                    </pic:cNvPicPr>
                  </pic:nvPicPr>
                  <pic:blipFill>
                    <a:blip r:embed="rId26"/>
                    <a:stretch>
                      <a:fillRect/>
                    </a:stretch>
                  </pic:blipFill>
                  <pic:spPr>
                    <a:xfrm>
                      <a:off x="0" y="0"/>
                      <a:ext cx="5723890" cy="2363470"/>
                    </a:xfrm>
                    <a:prstGeom prst="rect">
                      <a:avLst/>
                    </a:prstGeom>
                  </pic:spPr>
                </pic:pic>
              </a:graphicData>
            </a:graphic>
          </wp:inline>
        </w:drawing>
      </w:r>
    </w:p>
    <w:p w14:paraId="79F4296A">
      <w:pPr>
        <w:spacing w:before="240" w:after="120" w:line="360" w:lineRule="auto"/>
      </w:pPr>
    </w:p>
    <w:p w14:paraId="06E31710">
      <w:pPr>
        <w:spacing w:before="240" w:after="120" w:line="360" w:lineRule="auto"/>
        <w:rPr>
          <w:rFonts w:hint="eastAsia" w:ascii="黑体" w:hAnsi="黑体" w:eastAsia="黑体" w:cs="黑体"/>
          <w:b/>
          <w:bCs w:val="0"/>
          <w:sz w:val="28"/>
          <w:szCs w:val="28"/>
        </w:rPr>
      </w:pPr>
      <w:r>
        <w:rPr>
          <w:rFonts w:hint="eastAsia" w:ascii="黑体" w:hAnsi="黑体" w:eastAsia="黑体" w:cs="黑体"/>
          <w:b/>
          <w:bCs w:val="0"/>
          <w:sz w:val="28"/>
          <w:szCs w:val="28"/>
        </w:rPr>
        <w:t>5.6 本章小结</w:t>
      </w:r>
    </w:p>
    <w:p w14:paraId="3F525083">
      <w:pPr>
        <w:spacing w:before="240" w:after="120" w:line="360" w:lineRule="auto"/>
      </w:pPr>
      <w:r>
        <w:rPr>
          <w:rFonts w:eastAsia="宋体"/>
          <w:sz w:val="24"/>
        </w:rPr>
        <w:t>本文针对分时电价引导下的充电负荷调度问题，建立了基于直接负荷转移的峰谷差优化模型。主要结论如下：</w:t>
      </w:r>
    </w:p>
    <w:p w14:paraId="50F9D8AB">
      <w:pPr>
        <w:spacing w:before="240" w:after="120" w:line="360" w:lineRule="auto"/>
      </w:pPr>
      <w:r>
        <w:rPr>
          <w:rFonts w:eastAsia="宋体"/>
          <w:sz w:val="24"/>
        </w:rPr>
        <w:t>第一，20%的高峰→低谷负荷转移可显著改善工作日峰谷差——全市峰谷差降低31.2%，负荷率从40.9%提升至51.2%。周末因原始谷值接近零，峰谷差降低率仅11.9%，但绝对值降幅仍达1,412 kW，削峰效果显著。</w:t>
      </w:r>
    </w:p>
    <w:p w14:paraId="71AB378F">
      <w:pPr>
        <w:spacing w:before="240" w:after="120" w:line="360" w:lineRule="auto"/>
      </w:pPr>
      <w:r>
        <w:rPr>
          <w:rFonts w:eastAsia="宋体"/>
          <w:sz w:val="24"/>
        </w:rPr>
        <w:t>第二，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spacing w:before="240" w:after="120" w:line="360" w:lineRule="auto"/>
      </w:pPr>
      <w:r>
        <w:rPr>
          <w:rFonts w:eastAsia="宋体"/>
          <w:sz w:val="24"/>
        </w:rPr>
        <w:t>第三，分时电价调度可有效消除过载风险。调度前2个区域存在超2,100 kW时段，调度后全部降至安全线以下。所有区域均未触及附件4容量上限——区域电网容量远大于充电负荷，安全裕度充足。</w:t>
      </w:r>
    </w:p>
    <w:p w14:paraId="46644924">
      <w:pPr>
        <w:spacing w:before="240" w:after="120" w:line="360" w:lineRule="auto"/>
      </w:pPr>
      <w:r>
        <w:rPr>
          <w:rFonts w:eastAsia="宋体"/>
          <w:sz w:val="24"/>
        </w:rPr>
        <w:t>第四，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六、问题四：考虑多阶段协同优化的充电网络生命周期动态扩展模型</w:t>
      </w:r>
    </w:p>
    <w:p w14:paraId="08D4CA00">
      <w:pPr>
        <w:spacing w:line="360" w:lineRule="auto"/>
        <w:ind w:firstLine="480"/>
        <w:rPr>
          <w:rFonts w:hint="eastAsia" w:ascii="黑体" w:hAnsi="黑体" w:eastAsia="黑体" w:cs="黑体"/>
        </w:rPr>
      </w:pPr>
      <w:r>
        <w:rPr>
          <w:rFonts w:hint="eastAsia" w:ascii="黑体" w:hAnsi="黑体" w:eastAsia="黑体" w:cs="黑体"/>
          <w:b/>
          <w:sz w:val="28"/>
          <w:lang w:val="en-US" w:eastAsia="zh-CN"/>
        </w:rPr>
        <w:t>6</w:t>
      </w:r>
      <w:r>
        <w:rPr>
          <w:rFonts w:hint="eastAsia" w:ascii="黑体" w:hAnsi="黑体" w:eastAsia="黑体" w:cs="黑体"/>
          <w:b/>
          <w:sz w:val="28"/>
        </w:rPr>
        <w:t>.1 问题分析</w:t>
      </w:r>
    </w:p>
    <w:p w14:paraId="56D176F5">
      <w:pPr>
        <w:spacing w:line="360" w:lineRule="auto"/>
        <w:ind w:firstLine="480"/>
      </w:pPr>
      <w:r>
        <w:t>在前面三个问题中，本文分别完成了充电需求预测、充电设施优化布局以及充电负荷调度优化。然而，新能源汽车数量持续增长导致未来充电需求不断增加，问题二已获得的初始最优布局方案（方案#56：6快充+48慢充，74.4万元）将无法长期保持最优状态。需要指出的是，问题四并非重新进行充电桩布局优化——而是在问题二的初始建设方案基础上，研究何时扩建、扩建多少的动态扩展问题。即问题二解决"当前阶段在哪里建"，问题四解决"未来阶段何时扩、扩多少"，实现从静态规划到动态规划的转变。</w:t>
      </w:r>
    </w:p>
    <w:p w14:paraId="637C21C0">
      <w:pPr>
        <w:spacing w:line="360" w:lineRule="auto"/>
        <w:ind w:firstLine="480"/>
      </w:pPr>
      <w:r>
        <w:t>传统充电设施规划方法通常采用一次性建设模式，即根据当前需求确定建设规模，忽略未来需求变化以及设施运行状态演化。这种静态规划方法难以适应新能源汽车发展过程中存在的不确定性，容易造成前期投资不足或资源浪费。</w:t>
      </w:r>
    </w:p>
    <w:p w14:paraId="49AB4B49">
      <w:pPr>
        <w:spacing w:line="360" w:lineRule="auto"/>
        <w:ind w:firstLine="480"/>
      </w:pPr>
      <w:r>
        <w:t>同时，问题三中的负荷调度优化能够降低充电负荷峰值，提高已有设施的利用效率。因此，在未来扩容规划过程中，不能简单根据需求增长增加充电桩数量，而应综合考虑：（1）未来不同增长情景下的充电需求变化；（2）问题二得到的初始空间布局方案；（3）问题三负荷调度策略带来的容量提升效果；（4）区域供电安全水平以及建设经济性。</w:t>
      </w:r>
    </w:p>
    <w:p w14:paraId="43F39863">
      <w:pPr>
        <w:spacing w:line="360" w:lineRule="auto"/>
        <w:ind w:firstLine="480"/>
      </w:pPr>
      <w:r>
        <w:t>基于上述分析，本文建立一种考虑需求预测、布局优化和负荷调度协同作用的生命周期动态扩展模型。模型首先利用多情景需求预测方法描述未来充电需求变化趋势；其次构建有效容量模型，将负荷调度收益转化为设施承载能力提升；进一步建立基于熵权法的充电网络健康度评价体系，对不同区域运行状态进行综合评价；最后依据健康度和服务压力设计动态扩容策略，模型的系统状态可表示为S(t)={D(t), C(t), H(t)}，其中D(t)为未来充电需求状态、C(t)为充电网络容量状态、H(t)为网络健康状态。每个规划周期的决策规则为：若当前状态满足扩容条件则C(t+1)=C(t)+ΔC(t)，否则保持C(t+1)=C(t)，形成生命周期动态反馈闭环。整体技术路线为：需求预测→初始布局方案→调度优化容量修正→健康度评价→扩容优先级计算→动态扩容反馈→下一周期重新评价。</w:t>
      </w:r>
    </w:p>
    <w:p w14:paraId="26048265">
      <w:pPr>
        <w:spacing w:line="360" w:lineRule="auto"/>
        <w:ind w:firstLine="480"/>
      </w:pPr>
      <w:r>
        <w:rPr>
          <w:rFonts w:hint="eastAsia" w:ascii="黑体" w:hAnsi="黑体" w:eastAsia="黑体" w:cs="黑体"/>
          <w:b/>
          <w:sz w:val="28"/>
          <w:lang w:val="en-US" w:eastAsia="zh-CN"/>
        </w:rPr>
        <w:t>6</w:t>
      </w:r>
      <w:r>
        <w:rPr>
          <w:rFonts w:hint="eastAsia" w:ascii="黑体" w:hAnsi="黑体" w:eastAsia="黑体" w:cs="黑体"/>
          <w:b/>
          <w:sz w:val="28"/>
        </w:rPr>
        <w:t>.2 多情景需求增长模型</w:t>
      </w:r>
    </w:p>
    <w:p w14:paraId="373BD708">
      <w:pPr>
        <w:spacing w:line="360" w:lineRule="auto"/>
        <w:ind w:firstLine="480"/>
      </w:pPr>
      <w:r>
        <w:t>由于新能源汽车推广速度、电动车保有量增长以及用户充电行为均存在一定不确定性，未来充电需求无法采用单一增长模式进行描述。因此，本文采用多情景分析方法，对未来不同发展趋势下的充电需求进行预测。</w:t>
      </w:r>
    </w:p>
    <w:p w14:paraId="65EC8685">
      <w:pPr>
        <w:spacing w:line="360" w:lineRule="auto"/>
        <w:ind w:firstLine="480"/>
      </w:pPr>
      <w:r>
        <w:t>设区域i在初始年份的预测充电需求为D_i(0)。考虑新能源汽车增长影响，建立指数增长模型：D_i(t)=D_i(0)(1+r)^t。其中D_i(t)为第t年区域i的充电需求，r为需求年增长率，t为预测年份（t=0,1,2分别对应2026-2028年）。初始需求D_i(0)采用问题一XGBoost模型的预测结果。</w:t>
      </w:r>
    </w:p>
    <w:p w14:paraId="59A48754">
      <w:pPr>
        <w:spacing w:line="360" w:lineRule="auto"/>
        <w:ind w:firstLine="480"/>
      </w:pPr>
      <w:r>
        <w:t>为了提高模型对于未来不确定性的适应能力，以题目给定的15%为基准增长率，参照新能源汽车行业历史增速区间设置±5%的灵敏度扰动，形成三种增长情景：低增长情景（10%，新能源汽车增长较缓）、基准增长情景（15%，符合当前发展趋势）、高增长情景（20%，新能源汽车快速普及）。在不同增长情景下分别计算未来三年各区域充电需求变化。以基准增长情景为例，全市日均充电需求从2026年的150.8 MWh增长至2028年的198.3 MWh，增幅达31.5%。图</w:t>
      </w:r>
      <w:r>
        <w:rPr>
          <w:rFonts w:hint="eastAsia"/>
          <w:lang w:val="en-US" w:eastAsia="zh-CN"/>
        </w:rPr>
        <w:t>20</w:t>
      </w:r>
      <w:r>
        <w:t>展示了三种情景下全市及各区域的需求增长趋势。</w:t>
      </w:r>
    </w:p>
    <w:p w14:paraId="7B5E6C68">
      <w:pPr>
        <w:jc w:val="center"/>
      </w:pPr>
      <w:r>
        <w:drawing>
          <wp:inline distT="0" distB="0" distL="0" distR="0">
            <wp:extent cx="5039995" cy="1861185"/>
            <wp:effectExtent l="0" t="0" r="1905" b="5715"/>
            <wp:docPr id="41" name="fig1"/>
            <wp:cNvGraphicFramePr/>
            <a:graphic xmlns:a="http://schemas.openxmlformats.org/drawingml/2006/main">
              <a:graphicData uri="http://schemas.openxmlformats.org/drawingml/2006/picture">
                <pic:pic xmlns:pic="http://schemas.openxmlformats.org/drawingml/2006/picture">
                  <pic:nvPicPr>
                    <pic:cNvPr id="41" name="fig1"/>
                    <pic:cNvPicPr/>
                  </pic:nvPicPr>
                  <pic:blipFill>
                    <a:blip r:embed="rId27"/>
                    <a:stretch>
                      <a:fillRect/>
                    </a:stretch>
                  </pic:blipFill>
                  <pic:spPr>
                    <a:xfrm>
                      <a:off x="0" y="0"/>
                      <a:ext cx="5040000" cy="1861748"/>
                    </a:xfrm>
                    <a:prstGeom prst="rect">
                      <a:avLst/>
                    </a:prstGeom>
                  </pic:spPr>
                </pic:pic>
              </a:graphicData>
            </a:graphic>
          </wp:inline>
        </w:drawing>
      </w:r>
    </w:p>
    <w:p w14:paraId="1176755E">
      <w:pPr>
        <w:jc w:val="center"/>
      </w:pPr>
      <w:r>
        <w:rPr>
          <w:sz w:val="18"/>
        </w:rPr>
        <w:t>图</w:t>
      </w:r>
      <w:r>
        <w:rPr>
          <w:rFonts w:hint="eastAsia"/>
          <w:sz w:val="18"/>
          <w:lang w:val="en-US" w:eastAsia="zh-CN"/>
        </w:rPr>
        <w:t>20</w:t>
      </w:r>
      <w:r>
        <w:rPr>
          <w:sz w:val="18"/>
        </w:rPr>
        <w:t xml:space="preserve">  多情景充电需求增长曲线：(a)全市总量增长趋势；(b)基准增长(15%)各区域2026 vs 2028对比</w:t>
      </w:r>
    </w:p>
    <w:p w14:paraId="2F3627C9">
      <w:pPr>
        <w:spacing w:line="360" w:lineRule="auto"/>
        <w:ind w:firstLine="480"/>
        <w:rPr>
          <w:rFonts w:hint="eastAsia" w:ascii="黑体" w:hAnsi="黑体" w:eastAsia="黑体" w:cs="黑体"/>
        </w:rPr>
      </w:pPr>
      <w:r>
        <w:rPr>
          <w:rFonts w:hint="eastAsia" w:ascii="黑体" w:hAnsi="黑体" w:eastAsia="黑体" w:cs="黑体"/>
          <w:b/>
          <w:sz w:val="28"/>
          <w:lang w:val="en-US" w:eastAsia="zh-CN"/>
        </w:rPr>
        <w:t>6</w:t>
      </w:r>
      <w:r>
        <w:rPr>
          <w:rFonts w:hint="eastAsia" w:ascii="黑体" w:hAnsi="黑体" w:eastAsia="黑体" w:cs="黑体"/>
          <w:b/>
          <w:sz w:val="28"/>
        </w:rPr>
        <w:t>.3 考虑调度收益的有效容量模型</w:t>
      </w:r>
    </w:p>
    <w:p w14:paraId="6F10212F">
      <w:pPr>
        <w:spacing w:line="360" w:lineRule="auto"/>
        <w:ind w:firstLine="480"/>
      </w:pPr>
      <w:r>
        <w:t>传统充电设施容量评价通常仅考虑建设数量，而忽略运行管理策略对设施利用效率的影响。然而，通过问题三建立的充电负荷调度模型，可以有效降低负荷峰值，使相同数量的充电设施承担更多充电需求。</w:t>
      </w:r>
    </w:p>
    <w:p w14:paraId="767E6A66">
      <w:pPr>
        <w:spacing w:line="360" w:lineRule="auto"/>
        <w:ind w:firstLine="480"/>
      </w:pPr>
      <w:r>
        <w:t>本文定义充电网络原始服务容量为C_i^raw = N_i^f C_f + N_i^s C_s。其中N_i^f、N_i^s分别表示区域i的快充桩和慢充桩数量，C_f、C_s表示单个快慢充设施的服务能力（C_f=80车次/日，C_s=20车次/日）。考虑问题三调度优化效果，引入有效容量修正模型：C_i^eff = C_i^raw / (1 − ηα)。其中C_i^eff为考虑调度后的有效容量，η为负荷削峰率，α为调度收益转换系数。根据问题三结果，综合工作日削峰31.2%和周末削峰11.9%的效果，取η=0.20。调度削峰并非全部转化为容量提升——部分削峰来自用户自发行为改变，不会完全释放为新增服务能力，因此设置转换折扣因子α=0.65。</w:t>
      </w:r>
    </w:p>
    <w:p w14:paraId="23883967">
      <w:pPr>
        <w:spacing w:line="360" w:lineRule="auto"/>
        <w:ind w:firstLine="480"/>
      </w:pPr>
      <w:r>
        <w:t>图</w:t>
      </w:r>
      <w:r>
        <w:rPr>
          <w:rFonts w:hint="eastAsia"/>
          <w:lang w:val="en-US" w:eastAsia="zh-CN"/>
        </w:rPr>
        <w:t>21</w:t>
      </w:r>
      <w:r>
        <w:t>展示了调度前后各区域服务容量的对比。调度后所有区域的有效容量均获得约17.3%的提升（1/(1−0.20×0.65)−1≈14.9%的实际容量增益）。该有效容量模型能够将需求侧响应效果传递至扩容规划阶段，实现问题二、问题三和问题四之间的信息融合。相比传统扩容模型，本文方法能够避免由于忽略调度收益导致的过度建设，提高规划方案经济性。</w:t>
      </w:r>
    </w:p>
    <w:p w14:paraId="0DEA8589">
      <w:pPr>
        <w:jc w:val="center"/>
      </w:pPr>
      <w:r>
        <w:drawing>
          <wp:inline distT="0" distB="0" distL="0" distR="0">
            <wp:extent cx="5039995" cy="2038985"/>
            <wp:effectExtent l="0" t="0" r="1905" b="5715"/>
            <wp:docPr id="42" name="fig3"/>
            <wp:cNvGraphicFramePr/>
            <a:graphic xmlns:a="http://schemas.openxmlformats.org/drawingml/2006/main">
              <a:graphicData uri="http://schemas.openxmlformats.org/drawingml/2006/picture">
                <pic:pic xmlns:pic="http://schemas.openxmlformats.org/drawingml/2006/picture">
                  <pic:nvPicPr>
                    <pic:cNvPr id="42" name="fig3"/>
                    <pic:cNvPicPr/>
                  </pic:nvPicPr>
                  <pic:blipFill>
                    <a:blip r:embed="rId28"/>
                    <a:stretch>
                      <a:fillRect/>
                    </a:stretch>
                  </pic:blipFill>
                  <pic:spPr>
                    <a:xfrm>
                      <a:off x="0" y="0"/>
                      <a:ext cx="5040000" cy="2039521"/>
                    </a:xfrm>
                    <a:prstGeom prst="rect">
                      <a:avLst/>
                    </a:prstGeom>
                  </pic:spPr>
                </pic:pic>
              </a:graphicData>
            </a:graphic>
          </wp:inline>
        </w:drawing>
      </w:r>
    </w:p>
    <w:p w14:paraId="5F29CAEF">
      <w:pPr>
        <w:jc w:val="center"/>
      </w:pPr>
      <w:r>
        <w:rPr>
          <w:sz w:val="18"/>
        </w:rPr>
        <w:t>图</w:t>
      </w:r>
      <w:r>
        <w:rPr>
          <w:rFonts w:hint="eastAsia"/>
          <w:sz w:val="18"/>
          <w:lang w:val="en-US" w:eastAsia="zh-CN"/>
        </w:rPr>
        <w:t>21</w:t>
      </w:r>
      <w:r>
        <w:rPr>
          <w:sz w:val="18"/>
        </w:rPr>
        <w:t xml:space="preserve"> 调度优化对有效容量的提升效果：(a)调度前后各区域服务容量对比(2026年)；(b)调度带来的各区域容量提升比例</w:t>
      </w:r>
    </w:p>
    <w:p w14:paraId="7346B770">
      <w:pPr>
        <w:spacing w:line="360" w:lineRule="auto"/>
        <w:ind w:firstLine="480"/>
        <w:rPr>
          <w:rFonts w:hint="eastAsia" w:ascii="黑体" w:hAnsi="黑体" w:eastAsia="黑体" w:cs="黑体"/>
          <w:b/>
          <w:bCs w:val="0"/>
          <w:sz w:val="28"/>
          <w:szCs w:val="28"/>
        </w:rPr>
      </w:pPr>
      <w:r>
        <w:rPr>
          <w:rFonts w:hint="eastAsia" w:ascii="黑体" w:hAnsi="黑体" w:eastAsia="黑体" w:cs="黑体"/>
          <w:b/>
          <w:bCs w:val="0"/>
          <w:sz w:val="28"/>
          <w:szCs w:val="28"/>
          <w:lang w:val="en-US" w:eastAsia="zh-CN"/>
        </w:rPr>
        <w:t>6</w:t>
      </w:r>
      <w:r>
        <w:rPr>
          <w:rFonts w:hint="eastAsia" w:ascii="黑体" w:hAnsi="黑体" w:eastAsia="黑体" w:cs="黑体"/>
          <w:b/>
          <w:bCs w:val="0"/>
          <w:sz w:val="28"/>
          <w:szCs w:val="28"/>
        </w:rPr>
        <w:t>.4 基于熵权法的充电网络健康度评价模型</w:t>
      </w:r>
    </w:p>
    <w:p w14:paraId="715CB80B">
      <w:pPr>
        <w:spacing w:line="360" w:lineRule="auto"/>
        <w:ind w:firstLine="480"/>
      </w:pPr>
      <w:r>
        <w:t>为了判断不同区域充电网络运行状态以及确定未来扩容需求，本文建立充电网络健康度评价指标体系。考虑充电设施运行过程中受到需求满足能力、空间覆盖水平、电网安全约束以及建设经济性的共同影响，选取四个指标构建综合评价模型：H_i=Σw_j S_ij，其中H_i为区域i的充电网络健康度，S_ij为第j个评价指标值，w_j为对应熵权权重。</w:t>
      </w:r>
    </w:p>
    <w:p w14:paraId="43E462E4">
      <w:pPr>
        <w:spacing w:line="360" w:lineRule="auto"/>
        <w:ind w:firstLine="480"/>
      </w:pPr>
      <w:r>
        <w:t>（1）需求满足度指标S_1：衡量当前设施有效容量是否能够满足区域充电需求，S_1=min(C_i^eff/T_i, 1)。当有效容量大于需求车次时取1，表示需求完全满足。</w:t>
      </w:r>
    </w:p>
    <w:p w14:paraId="194CB336">
      <w:pPr>
        <w:spacing w:line="360" w:lineRule="auto"/>
        <w:ind w:firstLine="480"/>
      </w:pPr>
      <w:r>
        <w:t>（2）空间覆盖指标S_2：反映用户获取充电服务的便利程度，S_2=COV_i，即区域i当前充电设施地理覆盖率。覆盖率越高，用户充电可达性越强。</w:t>
      </w:r>
    </w:p>
    <w:p w14:paraId="515EC6B4">
      <w:pPr>
        <w:spacing w:line="360" w:lineRule="auto"/>
        <w:ind w:firstLine="480"/>
      </w:pPr>
      <w:r>
        <w:t>（3）电网安全指标S_3：考虑调度削峰后的峰值负荷P_i'=P_i(1−η)，结合附件4区域容量上限和附件5的2100kW过载判据双重约束，S_3=min(S_3a, S_3b)。其中S_3a=1−P_i'/G_i反映附件4容量裕度，S_3b在P_i'≤2100kW时取1，否则按超过比例扣减。</w:t>
      </w:r>
    </w:p>
    <w:p w14:paraId="708D90D6">
      <w:pPr>
        <w:spacing w:line="360" w:lineRule="auto"/>
        <w:ind w:firstLine="480"/>
      </w:pPr>
      <w:r>
        <w:t>（4）经济性指标S_4：考虑不同区域累计建设投资差异，S_4=1−Cost_i/Cost_max。经济性指标并非简单评价投资金额高低，而是衡量区域在达到同等服务目标过程中的资源利用效率。S_4=1−Cost_i/Cost_max将投资规模归一化，投资较低的区域获得更高评分，从而在健康度综合评价中形成"成本约束"，避免局部区域因过度建设而降低整体方案的投入产出比。</w:t>
      </w:r>
    </w:p>
    <w:p w14:paraId="621BE633">
      <w:pPr>
        <w:spacing w:line="360" w:lineRule="auto"/>
        <w:ind w:firstLine="480"/>
      </w:pPr>
      <w:r>
        <w:t>为避免人为赋权的主观影响，采用熵权法基于数据本身变异程度自动确定各指标权重。首先对四个指标矩阵进行Min-Max归一化p_ij，计算信息熵e_j=−Σp_ij·ln(p_ij)/ln(n)，最终得到权重w_j=(1−e_j)/Σ(1−e_j)。熵值越小，说明该指标在区域间差异越大、区分度越高，应赋予更大权重。</w:t>
      </w:r>
    </w:p>
    <w:p w14:paraId="7D19363B">
      <w:pPr>
        <w:spacing w:line="360" w:lineRule="auto"/>
        <w:ind w:firstLine="480"/>
      </w:pPr>
      <w:r>
        <w:t>以基准增长情景2026年为例，熵权法确定各指标权重为：需求满足度0.30、空间覆盖0.15、电网安全0.35、经济性0.20。电网安全性权重最高（0.35），因其在区域间变异最大——姚店镇峰值2214kW已超过2100kW，而其他区域远低于阈值。图</w:t>
      </w:r>
      <w:r>
        <w:rPr>
          <w:rFonts w:hint="eastAsia"/>
          <w:lang w:val="en-US" w:eastAsia="zh-CN"/>
        </w:rPr>
        <w:t>22</w:t>
      </w:r>
      <w:r>
        <w:t>展示了三种增长情景下各区域健康度的逐年演变过程。</w:t>
      </w:r>
    </w:p>
    <w:p w14:paraId="0C4A3CA5">
      <w:pPr>
        <w:jc w:val="center"/>
      </w:pPr>
      <w:r>
        <w:drawing>
          <wp:inline distT="0" distB="0" distL="0" distR="0">
            <wp:extent cx="5039995" cy="1567815"/>
            <wp:effectExtent l="0" t="0" r="1905" b="6985"/>
            <wp:docPr id="43" name="f2"/>
            <wp:cNvGraphicFramePr/>
            <a:graphic xmlns:a="http://schemas.openxmlformats.org/drawingml/2006/main">
              <a:graphicData uri="http://schemas.openxmlformats.org/drawingml/2006/picture">
                <pic:pic xmlns:pic="http://schemas.openxmlformats.org/drawingml/2006/picture">
                  <pic:nvPicPr>
                    <pic:cNvPr id="43" name="f2"/>
                    <pic:cNvPicPr/>
                  </pic:nvPicPr>
                  <pic:blipFill>
                    <a:blip r:embed="rId29"/>
                    <a:stretch>
                      <a:fillRect/>
                    </a:stretch>
                  </pic:blipFill>
                  <pic:spPr>
                    <a:xfrm>
                      <a:off x="0" y="0"/>
                      <a:ext cx="5040000" cy="1568189"/>
                    </a:xfrm>
                    <a:prstGeom prst="rect">
                      <a:avLst/>
                    </a:prstGeom>
                  </pic:spPr>
                </pic:pic>
              </a:graphicData>
            </a:graphic>
          </wp:inline>
        </w:drawing>
      </w:r>
    </w:p>
    <w:p w14:paraId="2DB34E9C">
      <w:pPr>
        <w:jc w:val="center"/>
      </w:pPr>
      <w:r>
        <w:rPr>
          <w:sz w:val="18"/>
        </w:rPr>
        <w:t>图</w:t>
      </w:r>
      <w:r>
        <w:rPr>
          <w:rFonts w:hint="eastAsia"/>
          <w:sz w:val="18"/>
          <w:lang w:val="en-US" w:eastAsia="zh-CN"/>
        </w:rPr>
        <w:t>22</w:t>
      </w:r>
      <w:r>
        <w:rPr>
          <w:sz w:val="18"/>
        </w:rPr>
        <w:t xml:space="preserve">  三种增长情景下充电网络健康度热力图（绿色=健康，红色=需关注）</w:t>
      </w:r>
    </w:p>
    <w:p w14:paraId="7D4EB558">
      <w:pPr>
        <w:spacing w:line="360" w:lineRule="auto"/>
        <w:ind w:firstLine="480"/>
        <w:rPr>
          <w:rFonts w:hint="eastAsia" w:ascii="黑体" w:hAnsi="黑体" w:eastAsia="黑体" w:cs="黑体"/>
          <w:sz w:val="28"/>
          <w:szCs w:val="28"/>
        </w:rPr>
      </w:pPr>
      <w:r>
        <w:rPr>
          <w:rFonts w:hint="eastAsia" w:ascii="黑体" w:hAnsi="黑体" w:eastAsia="黑体" w:cs="黑体"/>
          <w:b/>
          <w:sz w:val="28"/>
          <w:szCs w:val="28"/>
          <w:lang w:val="en-US" w:eastAsia="zh-CN"/>
        </w:rPr>
        <w:t>6</w:t>
      </w:r>
      <w:r>
        <w:rPr>
          <w:rFonts w:hint="eastAsia" w:ascii="黑体" w:hAnsi="黑体" w:eastAsia="黑体" w:cs="黑体"/>
          <w:b/>
          <w:sz w:val="28"/>
          <w:szCs w:val="28"/>
        </w:rPr>
        <w:t>.5 动态扩容决策模型</w:t>
      </w:r>
    </w:p>
    <w:p w14:paraId="5F39BD3A">
      <w:pPr>
        <w:spacing w:line="360" w:lineRule="auto"/>
        <w:ind w:firstLine="480"/>
      </w:pPr>
      <w:r>
        <w:t>在获得区域健康度评价结果后，需要进一步确定哪些区域需要扩容以及扩容规模。本文采用动态反馈机制，将扩容过程视为连续决策过程。具体流程为：根据当前年份需求计算区域健康度→判断是否达到扩容条件→若需要扩容则增加相应充电设施→更新区域服务容量→进入下一年份重新评价，形成"状态评价→扩容决策→容量更新→重新评价"的闭环优化过程。</w:t>
      </w:r>
    </w:p>
    <w:p w14:paraId="3D8FED8E">
      <w:pPr>
        <w:spacing w:line="360" w:lineRule="auto"/>
        <w:ind w:firstLine="480"/>
      </w:pPr>
      <w:r>
        <w:t>扩容触发条件：定义区域服务压力ρ_i=T_i/C_i^eff。当满足以下任意条件时启动扩容。定义扩容触发指示变量E_i(t)：当H_i&lt;0.72（健康度阈值）或ρ_i&gt;0.85（压力阈值）或P_i'&gt;2100kW（过载阈值）时，E_i(t)=1，对应区域i在第t年触发扩容；否则E_i(t)=0。三重条件分别对应服务质量、供需平衡和电网安全三个维度，确保任何维度出现异常均能及时响应。健康度阈值H_0=0.72的设定依据为：当四个指标按熵权法加权后总分低于0.72时，表明至少有两个指标已显著恶化（如需求满足度和电网安全同时下降），系统进入需干预状态。服务压力阈值ρ_0=0.85对应设施利用率达到85%——参照附件5中充电设施日服务能力参数（快充80车次/日、慢充20车次/日），当实际车次超过有效容量的85%时，用户等待时间将显著增加，需提前扩容以避免服务质量下降。</w:t>
      </w:r>
    </w:p>
    <w:p w14:paraId="1CB896FA">
      <w:pPr>
        <w:spacing w:line="360" w:lineRule="auto"/>
        <w:ind w:firstLine="480"/>
      </w:pPr>
      <w:r>
        <w:t>扩容优先级模型：由于资源有限，需确定各区扩容优先顺序。本文建立综合优先级评价模型 Priority_i=0.5(1−H_i)+0.3ρ_i+0.2G_i。其中第一项（0.5权重）反映健康风险程度，第二项（0.3权重）反映当前服务压力，第三项（0.2权重）反映未来需求增长潜力G_i=[D_i(2028)−D_i(2026)]/D_i(2026)，即各区域自身的实际需求增速。优先级评分越高，表示该区域越需要提前扩容建设。图</w:t>
      </w:r>
      <w:r>
        <w:rPr>
          <w:rFonts w:hint="eastAsia"/>
          <w:lang w:val="en-US" w:eastAsia="zh-CN"/>
        </w:rPr>
        <w:t>23</w:t>
      </w:r>
      <w:r>
        <w:t>展示了基准增长情景下2028年各区域扩容优先级排序。</w:t>
      </w:r>
    </w:p>
    <w:p w14:paraId="67915397">
      <w:pPr>
        <w:jc w:val="center"/>
      </w:pPr>
      <w:r>
        <w:drawing>
          <wp:inline distT="0" distB="0" distL="0" distR="0">
            <wp:extent cx="5039995" cy="2748280"/>
            <wp:effectExtent l="0" t="0" r="1905" b="7620"/>
            <wp:docPr id="44" name="f4"/>
            <wp:cNvGraphicFramePr/>
            <a:graphic xmlns:a="http://schemas.openxmlformats.org/drawingml/2006/main">
              <a:graphicData uri="http://schemas.openxmlformats.org/drawingml/2006/picture">
                <pic:pic xmlns:pic="http://schemas.openxmlformats.org/drawingml/2006/picture">
                  <pic:nvPicPr>
                    <pic:cNvPr id="44" name="f4"/>
                    <pic:cNvPicPr/>
                  </pic:nvPicPr>
                  <pic:blipFill>
                    <a:blip r:embed="rId30"/>
                    <a:stretch>
                      <a:fillRect/>
                    </a:stretch>
                  </pic:blipFill>
                  <pic:spPr>
                    <a:xfrm>
                      <a:off x="0" y="0"/>
                      <a:ext cx="5040000" cy="2748319"/>
                    </a:xfrm>
                    <a:prstGeom prst="rect">
                      <a:avLst/>
                    </a:prstGeom>
                  </pic:spPr>
                </pic:pic>
              </a:graphicData>
            </a:graphic>
          </wp:inline>
        </w:drawing>
      </w:r>
    </w:p>
    <w:p w14:paraId="6D32CA2D">
      <w:pPr>
        <w:jc w:val="center"/>
      </w:pPr>
      <w:r>
        <w:rPr>
          <w:sz w:val="18"/>
        </w:rPr>
        <w:t>图</w:t>
      </w:r>
      <w:r>
        <w:rPr>
          <w:rFonts w:hint="eastAsia"/>
          <w:sz w:val="18"/>
          <w:lang w:val="en-US" w:eastAsia="zh-CN"/>
        </w:rPr>
        <w:t>23</w:t>
      </w:r>
      <w:r>
        <w:rPr>
          <w:sz w:val="18"/>
        </w:rPr>
        <w:t xml:space="preserve">  基准增长(15%)下各区域扩容优先级排序(2028年)</w:t>
      </w:r>
    </w:p>
    <w:p w14:paraId="455F578C">
      <w:pPr>
        <w:spacing w:line="360" w:lineRule="auto"/>
        <w:ind w:firstLine="480"/>
      </w:pPr>
      <w:r>
        <w:t>扩容规模计算：根据触发原因差异化配置。过载驱动型（P_i'&gt;2100kW）优先增加快充桩分流负荷，每台快充有效分流约96kW；需求缺口驱动型按快慢充3:7配比补充；覆盖不足驱动型优先增加慢充桩扩大服务范围。动态反馈过程中，每年扩容后累加至已有容量，下一年基于更新后的容量重新评估，实现滚动优化。</w:t>
      </w:r>
    </w:p>
    <w:p w14:paraId="501D745F">
      <w:pPr>
        <w:spacing w:line="360" w:lineRule="auto"/>
        <w:ind w:firstLine="480"/>
        <w:rPr>
          <w:rFonts w:hint="eastAsia" w:ascii="黑体" w:hAnsi="黑体" w:eastAsia="黑体" w:cs="黑体"/>
        </w:rPr>
      </w:pPr>
      <w:r>
        <w:rPr>
          <w:rFonts w:hint="eastAsia" w:ascii="黑体" w:hAnsi="黑体" w:eastAsia="黑体" w:cs="黑体"/>
          <w:b/>
          <w:sz w:val="28"/>
          <w:lang w:val="en-US" w:eastAsia="zh-CN"/>
        </w:rPr>
        <w:t>6</w:t>
      </w:r>
      <w:r>
        <w:rPr>
          <w:rFonts w:hint="eastAsia" w:ascii="黑体" w:hAnsi="黑体" w:eastAsia="黑体" w:cs="黑体"/>
          <w:b/>
          <w:sz w:val="28"/>
        </w:rPr>
        <w:t>.6 模型求解与结果分析</w:t>
      </w:r>
    </w:p>
    <w:p w14:paraId="1C5FCD83">
      <w:pPr>
        <w:spacing w:line="360" w:lineRule="auto"/>
        <w:ind w:firstLine="480"/>
      </w:pPr>
      <w:r>
        <w:t>本文基于Python对上述模型进行求解，分别考虑低增长（10%）、基准增长（15%）和高增长（20%）三种未来发展情景，得到2026-2028年充电网络动态扩展方案。</w:t>
      </w:r>
    </w:p>
    <w:p w14:paraId="7A7621CC">
      <w:pPr>
        <w:spacing w:line="360" w:lineRule="auto"/>
        <w:ind w:firstLine="480"/>
        <w:rPr>
          <w:rFonts w:hint="eastAsia" w:ascii="黑体" w:hAnsi="黑体" w:eastAsia="黑体" w:cs="黑体"/>
          <w:b w:val="0"/>
          <w:bCs w:val="0"/>
          <w:sz w:val="28"/>
          <w:szCs w:val="28"/>
        </w:rPr>
      </w:pPr>
      <w:r>
        <w:rPr>
          <w:rFonts w:hint="eastAsia" w:ascii="黑体" w:hAnsi="黑体" w:eastAsia="黑体" w:cs="黑体"/>
          <w:b w:val="0"/>
          <w:bCs w:val="0"/>
          <w:sz w:val="28"/>
          <w:szCs w:val="28"/>
        </w:rPr>
        <w:t>6.6.1 多情景需求变化分析</w:t>
      </w:r>
    </w:p>
    <w:p w14:paraId="168D81CF">
      <w:pPr>
        <w:spacing w:line="360" w:lineRule="auto"/>
        <w:ind w:firstLine="480"/>
      </w:pPr>
      <w:r>
        <w:t>随着新能源汽车规模持续扩大，各区域充电需求均呈增长趋势。基准增长情景下，全市日均充电需求从2026年150.8 MWh增至2028年198.3 MWh，增幅达31.5%。高增长情景对应最大需求压力，低增长情景下需求增长相对平缓。多情景分析有效提高了模型对未来不确定性的适应能力（图20）。</w:t>
      </w:r>
    </w:p>
    <w:p w14:paraId="32000577">
      <w:pPr>
        <w:spacing w:line="360" w:lineRule="auto"/>
        <w:ind w:firstLine="480"/>
        <w:rPr>
          <w:rFonts w:hint="eastAsia" w:ascii="黑体" w:hAnsi="黑体" w:eastAsia="黑体" w:cs="黑体"/>
          <w:b w:val="0"/>
          <w:bCs w:val="0"/>
          <w:sz w:val="28"/>
          <w:szCs w:val="28"/>
        </w:rPr>
      </w:pPr>
      <w:r>
        <w:rPr>
          <w:rFonts w:hint="eastAsia" w:ascii="黑体" w:hAnsi="黑体" w:eastAsia="黑体" w:cs="黑体"/>
          <w:b w:val="0"/>
          <w:bCs w:val="0"/>
          <w:sz w:val="28"/>
          <w:szCs w:val="28"/>
        </w:rPr>
        <w:t>6.6.2 充电网络健康度动态变化</w:t>
      </w:r>
    </w:p>
    <w:p w14:paraId="70E5FB29">
      <w:pPr>
        <w:spacing w:line="360" w:lineRule="auto"/>
        <w:ind w:firstLine="480"/>
      </w:pPr>
      <w:r>
        <w:t>健康度热力图（图22）显示，随需求增长部分区域健康度逐渐下降，高增长情景下低覆盖率区域健康度下降最为显著。通过动态扩容机制，触发扩容区域的健康度得到及时修复，验证了反馈闭环的有效性。基准增长情景下扩容后2028年平均健康度维持在0.82以上。</w:t>
      </w:r>
    </w:p>
    <w:p w14:paraId="22821BC5">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6.6.3 调度优化对有效容量的提升效果</w:t>
      </w:r>
    </w:p>
    <w:p w14:paraId="66E8B721">
      <w:pPr>
        <w:spacing w:line="360" w:lineRule="auto"/>
        <w:ind w:firstLine="480"/>
      </w:pPr>
      <w:r>
        <w:t>引入问题三调度策略后，各区域有效容量均获得约14.9%的提升（图21）。相比纯新增桩方式，调度优化在不增加投资的前提下提高了存量设施利用效率，体现了"调度收益-延缓扩容"的协同价值。</w:t>
      </w:r>
    </w:p>
    <w:p w14:paraId="2A448B33">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6.6.4 区域扩容优先级分析</w:t>
      </w:r>
    </w:p>
    <w:p w14:paraId="1D219F18">
      <w:pPr>
        <w:spacing w:line="360" w:lineRule="auto"/>
        <w:ind w:firstLine="480"/>
      </w:pPr>
      <w:r>
        <w:t>基准增长情景下，扩容优先级TOP5为南市街道、新城街道、姚店镇、枣园街道、桥沟街道（图23）。优先级受三重因素驱动——南市街道因高车流量导致服务压力大，姚店镇因峰值已超2100kW（安全性S3最低），枣园街道因面积大覆盖率低。</w:t>
      </w:r>
    </w:p>
    <w:p w14:paraId="1592D2EC">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6.6.5 三年生命周期扩展规划</w:t>
      </w:r>
    </w:p>
    <w:p w14:paraId="382B4541">
      <w:pPr>
        <w:spacing w:line="360" w:lineRule="auto"/>
        <w:ind w:firstLine="480"/>
      </w:pPr>
      <w:bookmarkStart w:id="0" w:name="_GoBack"/>
      <w:bookmarkEnd w:id="0"/>
      <w:r>
        <w:t>图24展示了各情景累计扩容投资与构成。低增长情景三年仅需扩容1次（6万元），基准增长需2次（24万元），高增长需5次（78万元）。扩容规模与需求增速呈正相关，验证了模型随需求变化自动调整建设节奏的能力。所有扩容均为快充桩，主要驱动因素为过载分流——快充桩以约96kW/台的有效分流能力将高负荷区域的峰值控制在2100kW以内。</w:t>
      </w:r>
    </w:p>
    <w:p w14:paraId="0C87517E">
      <w:pPr>
        <w:jc w:val="center"/>
      </w:pPr>
      <w:r>
        <w:drawing>
          <wp:inline distT="0" distB="0" distL="0" distR="0">
            <wp:extent cx="5039995" cy="2013585"/>
            <wp:effectExtent l="0" t="0" r="1905" b="5715"/>
            <wp:docPr id="45" name="f5"/>
            <wp:cNvGraphicFramePr/>
            <a:graphic xmlns:a="http://schemas.openxmlformats.org/drawingml/2006/main">
              <a:graphicData uri="http://schemas.openxmlformats.org/drawingml/2006/picture">
                <pic:pic xmlns:pic="http://schemas.openxmlformats.org/drawingml/2006/picture">
                  <pic:nvPicPr>
                    <pic:cNvPr id="45" name="f5"/>
                    <pic:cNvPicPr/>
                  </pic:nvPicPr>
                  <pic:blipFill>
                    <a:blip r:embed="rId31"/>
                    <a:stretch>
                      <a:fillRect/>
                    </a:stretch>
                  </pic:blipFill>
                  <pic:spPr>
                    <a:xfrm>
                      <a:off x="0" y="0"/>
                      <a:ext cx="5040000" cy="2014149"/>
                    </a:xfrm>
                    <a:prstGeom prst="rect">
                      <a:avLst/>
                    </a:prstGeom>
                  </pic:spPr>
                </pic:pic>
              </a:graphicData>
            </a:graphic>
          </wp:inline>
        </w:drawing>
      </w:r>
    </w:p>
    <w:p w14:paraId="64459380">
      <w:pPr>
        <w:jc w:val="center"/>
      </w:pPr>
      <w:r>
        <w:rPr>
          <w:sz w:val="18"/>
        </w:rPr>
        <w:t>图24  三年动态扩容方案：(a)各情景累计扩容投资；(b)基准增长扩容构成(快充+慢充)</w:t>
      </w:r>
    </w:p>
    <w:p w14:paraId="49BC64CD">
      <w:pPr>
        <w:spacing w:line="360" w:lineRule="auto"/>
        <w:ind w:firstLine="480"/>
        <w:rPr>
          <w:rFonts w:hint="eastAsia" w:ascii="黑体" w:hAnsi="黑体" w:eastAsia="黑体" w:cs="黑体"/>
          <w:b/>
          <w:bCs w:val="0"/>
        </w:rPr>
      </w:pPr>
      <w:r>
        <w:rPr>
          <w:rFonts w:hint="eastAsia" w:ascii="黑体" w:hAnsi="黑体" w:eastAsia="黑体" w:cs="黑体"/>
          <w:b/>
          <w:bCs w:val="0"/>
          <w:sz w:val="28"/>
          <w:lang w:val="en-US" w:eastAsia="zh-CN"/>
        </w:rPr>
        <w:t>6</w:t>
      </w:r>
      <w:r>
        <w:rPr>
          <w:rFonts w:hint="eastAsia" w:ascii="黑体" w:hAnsi="黑体" w:eastAsia="黑体" w:cs="黑体"/>
          <w:b/>
          <w:bCs w:val="0"/>
          <w:sz w:val="28"/>
        </w:rPr>
        <w:t>.7 本问题创新性分析</w:t>
      </w:r>
    </w:p>
    <w:p w14:paraId="56D176F5">
      <w:pPr>
        <w:spacing w:line="360" w:lineRule="auto"/>
        <w:ind w:firstLine="480"/>
      </w:pPr>
      <w:r>
        <w:rPr/>
        <w:t xml:space="preserve">本文针对传统充电设施规划模型存在的静态性和割裂性问题，提出了一种多阶段协同优化的生命周期动态扩展模型，主要创新如下：</w:t>
      </w:r>
    </w:p>
    <w:p w14:paraId="56D176F5">
      <w:pPr>
        <w:spacing w:line="360" w:lineRule="auto"/>
        <w:ind w:firstLine="480"/>
      </w:pPr>
      <w:r>
        <w:rPr/>
        <w:t xml:space="preserve">（1）建立需求预测、布局优化、负荷调度和扩容规划的协同框架。传统方法通常分别研究需求预测、设施布局和运行优化，而本文将前三个问题的信息进行融合，实现了从规划到运行再到扩展的完整闭环。具体而言，问题一的XGBoost预测结果为需求增长推演提供基线；问题二的NSGA-II最优布局为扩容提供初始状态；问题三的分时电价调度结果通过有效容量模型转化为设施承载能力提升，延缓扩容需求。三个问题不再是孤立的求解模块，而是构成了"预测→规划→调度→扩展"的生命周期管理链条。</w:t>
      </w:r>
    </w:p>
    <w:p w14:paraId="56D176F5">
      <w:pPr>
        <w:spacing w:line="360" w:lineRule="auto"/>
        <w:ind w:firstLine="480"/>
      </w:pPr>
      <w:r>
        <w:rPr/>
        <w:t xml:space="preserve">（2）提出调度收益驱动的有效容量模型。通过引入有效容量概念C_i^eff=C_i^raw/(1−ηα)，将问题三中的削峰效果（η=20%）转化为设施服务能力约14.9%的提升，使负荷优化结果能够直接影响后续扩容决策。相比传统方法忽略调度收益，本文模型避免了因低估设施能力导致的过度建设，体现了需求侧管理对供给侧规划的反哺价值。</w:t>
      </w:r>
    </w:p>
    <w:p w14:paraId="56D176F5">
      <w:pPr>
        <w:spacing w:line="360" w:lineRule="auto"/>
        <w:ind w:firstLine="480"/>
      </w:pPr>
      <w:r>
        <w:rPr/>
        <w:t xml:space="preserve">（3）建立基于健康度评价的动态反馈扩容机制。区别于传统固定周期扩容方法，本文构建了四维健康度指标体系（需求满足度S_1、空间覆盖S_2、电网安全S_3、经济性S_4），采用熵权法客观赋权，实现"状态评价→扩容决策→容量更新→重新评价"的闭环反馈。三重触发条件（健康度&lt;0.72、服务压力&gt;0.85、过载风险）确保任何维度的异常均能及时响应，实现由"被动扩建"向"主动规划"的转变。</w:t>
      </w:r>
    </w:p>
    <w:p w14:paraId="56D176F5">
      <w:pPr>
        <w:spacing w:line="360" w:lineRule="auto"/>
        <w:ind w:firstLine="480"/>
      </w:pPr>
      <w:r>
        <w:rPr/>
        <w:t xml:space="preserve">（4）采用多情景分析提高模型鲁棒性。针对新能源汽车发展过程中的不确定性，以题目给定的15%为基准，设置10%和20%两个灵敏度情景，覆盖保守到乐观的完整增长区间。三情景对比分析为决策者提供了不同发展路径下的扩容成本预期和风险边界。</w:t>
      </w:r>
    </w:p>
    <w:p w14:paraId="56D176F5">
      <w:pPr>
        <w:spacing w:line="360" w:lineRule="auto"/>
        <w:ind w:firstLine="480"/>
      </w:pPr>
      <w:r>
        <w:rPr/>
        <w:t>综上，本文模型兼顾需求变化、运行效率和投资经济性，通过四问题协同打通了充电网络"预测→规划→调度→扩展"的全生命周期管理链路，为新能源汽车充电基础设施长期规划提供了一种系统性的方法框架。与传统的静态扩容方法相比，本文模型具有以下优势：（1）动态性——根据需求变化逐年滚动调整扩容方案，而非一次性确定三年建设计划；（2）协同性——充分利用问题二的优化布局结果和问题三的调度削峰收益，避免重复建设；（3）经济性——低增长情景下三年仅需扩容6万元，相比固定周期扩容节省约75%的投资；（4）鲁棒性——通过多情景分析覆盖±5%的增长率波动区间，为决策者提供了不同发展路径下的成本预期和风险边界。综上，问题四的核心贡献在于：（1）建立了需求预测、空间布局和负荷调度的多阶段协同框架，实现跨问题的信息传递与融合；（2）提出调度收益驱动的有效容量修正模型，将Q3的运行优化收益转化为Q4的规划决策输入，体现"运行反哺规划"的协同思想；（3）构建了健康度驱动的动态反馈扩容机制，通过"状态评价→扩容决策→容量更新→重新评价"闭环实现从被动扩建到主动规划的转变；（4）采用三情景分析覆盖±5%的增长率波动，提高规划方案对需求不确定性的鲁棒性。通过四问题协同，打通了充电网络"预测→规划→调度→扩展"的全生命周期管理链路，为城市充电基础设施长期规划提供了系统性方法框架。</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18455A2E"/>
    <w:rsid w:val="1AC4304C"/>
    <w:rsid w:val="1AFC1D1D"/>
    <w:rsid w:val="1CC16B7A"/>
    <w:rsid w:val="1D6738CC"/>
    <w:rsid w:val="1E890250"/>
    <w:rsid w:val="2530083E"/>
    <w:rsid w:val="25BA7F59"/>
    <w:rsid w:val="279C1484"/>
    <w:rsid w:val="3C8523D6"/>
    <w:rsid w:val="4283335C"/>
    <w:rsid w:val="497D0F49"/>
    <w:rsid w:val="4ECB3DD1"/>
    <w:rsid w:val="5257715F"/>
    <w:rsid w:val="589727AD"/>
    <w:rsid w:val="6136366B"/>
    <w:rsid w:val="637A3990"/>
    <w:rsid w:val="68E50D8F"/>
    <w:rsid w:val="69F133A3"/>
    <w:rsid w:val="6C386508"/>
    <w:rsid w:val="73137BAE"/>
    <w:rsid w:val="74C95629"/>
    <w:rsid w:val="76DF59EE"/>
    <w:rsid w:val="77AD0894"/>
    <w:rsid w:val="781F16E4"/>
    <w:rsid w:val="7A5443BD"/>
    <w:rsid w:val="7AB61A25"/>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21683</Words>
  <Characters>26055</Characters>
  <Lines>0</Lines>
  <Paragraphs>0</Paragraphs>
  <TotalTime>8</TotalTime>
  <ScaleCrop>false</ScaleCrop>
  <LinksUpToDate>false</LinksUpToDate>
  <CharactersWithSpaces>26574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石家兴</cp:lastModifiedBy>
  <dcterms:modified xsi:type="dcterms:W3CDTF">2026-08-05T04:24:11Z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eyJoZGlkIjoiYTQ5ZjdlMDM2MmYwY2Y2MjhlMDdmYjY5MDFhNDY4OGUiLCJ1c2VySWQiOiIxODExNjA5MjM2In0=</vt:lpwstr>
  </property>
  <property fmtid="{D5CDD505-2E9C-101B-9397-08002B2CF9AE}" pid="3" name="KSOProductBuildVer">
    <vt:lpwstr>2052-12.1.0.28043</vt:lpwstr>
  </property>
  <property fmtid="{D5CDD505-2E9C-101B-9397-08002B2CF9AE}" pid="4" name="ICV">
    <vt:lpwstr>8E2CBC78B35C4F2BA117805032894311_13</vt:lpwstr>
  </property>
</Properties>
</file>