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AB4785">
      <w:pPr>
        <w:spacing w:line="360" w:lineRule="auto"/>
      </w:pPr>
    </w:p>
    <w:p w14:paraId="72CC98E9">
      <w:pPr>
        <w:spacing w:line="360" w:lineRule="auto"/>
      </w:pPr>
    </w:p>
    <w:p w14:paraId="420C8957">
      <w:pPr>
        <w:spacing w:line="360" w:lineRule="auto"/>
      </w:pPr>
    </w:p>
    <w:p w14:paraId="11392802">
      <w:pPr>
        <w:spacing w:line="360" w:lineRule="auto"/>
      </w:pPr>
    </w:p>
    <w:p w14:paraId="7DCC5977">
      <w:pPr>
        <w:spacing w:line="360" w:lineRule="auto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sz w:val="44"/>
          <w:szCs w:val="44"/>
        </w:rPr>
        <w:t>城市新能源公共充电网络智能规划与调度</w:t>
      </w:r>
    </w:p>
    <w:p w14:paraId="790FF038">
      <w:pPr>
        <w:spacing w:line="360" w:lineRule="auto"/>
      </w:pPr>
    </w:p>
    <w:p w14:paraId="1F8A4C1C">
      <w:pPr>
        <w:spacing w:line="360" w:lineRule="auto"/>
      </w:pPr>
    </w:p>
    <w:p w14:paraId="6C6A2EFA">
      <w:pPr>
        <w:spacing w:line="720" w:lineRule="auto"/>
        <w:jc w:val="center"/>
        <w:rPr>
          <w:rFonts w:hint="default" w:ascii="Times New Roman" w:hAnsi="Times New Roman" w:cs="Times New Roman"/>
          <w:kern w:val="2"/>
          <w:sz w:val="32"/>
          <w:szCs w:val="32"/>
          <w:u w:val="single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32"/>
          <w:szCs w:val="32"/>
          <w:lang w:eastAsia="zh-CN"/>
        </w:rPr>
        <w:t>参赛队员</w:t>
      </w:r>
      <w:r>
        <w:rPr>
          <w:rFonts w:hint="eastAsia" w:ascii="微软雅黑" w:hAnsi="微软雅黑" w:eastAsia="微软雅黑" w:cs="微软雅黑"/>
          <w:b w:val="0"/>
          <w:sz w:val="24"/>
        </w:rPr>
        <w:t>：</w:t>
      </w: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梁灵科  2024002074</w:t>
      </w:r>
    </w:p>
    <w:p w14:paraId="355DDF24">
      <w:pPr>
        <w:spacing w:line="720" w:lineRule="auto"/>
        <w:jc w:val="center"/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石家兴 2024002066</w:t>
      </w:r>
    </w:p>
    <w:p w14:paraId="42D2DAB5">
      <w:pPr>
        <w:spacing w:line="720" w:lineRule="auto"/>
        <w:jc w:val="center"/>
        <w:rPr>
          <w:rFonts w:hint="default" w:ascii="Times New Roman" w:hAnsi="Times New Roman" w:cs="Times New Roman"/>
          <w:kern w:val="2"/>
          <w:sz w:val="32"/>
          <w:szCs w:val="32"/>
          <w:u w:val="single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32"/>
          <w:szCs w:val="32"/>
          <w:u w:val="single"/>
          <w:lang w:val="en-US" w:eastAsia="zh-CN"/>
        </w:rPr>
        <w:t>杨思渊 2024002069</w:t>
      </w:r>
    </w:p>
    <w:p w14:paraId="003245E6">
      <w:pPr>
        <w:spacing w:line="720" w:lineRule="auto"/>
        <w:jc w:val="center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cs="Times New Roman"/>
          <w:kern w:val="2"/>
          <w:sz w:val="32"/>
          <w:szCs w:val="32"/>
          <w:lang w:eastAsia="zh-CN"/>
        </w:rPr>
        <w:t>队伍编号：</w:t>
      </w:r>
      <w:r>
        <w:rPr>
          <w:rFonts w:hint="eastAsia" w:ascii="Times New Roman" w:hAnsi="Times New Roman" w:cs="Times New Roman"/>
          <w:kern w:val="2"/>
          <w:sz w:val="32"/>
          <w:szCs w:val="32"/>
          <w:lang w:val="en-US" w:eastAsia="zh-CN"/>
        </w:rPr>
        <w:t>371</w:t>
      </w:r>
    </w:p>
    <w:p w14:paraId="01A94A08">
      <w:pPr>
        <w:spacing w:line="720" w:lineRule="auto"/>
        <w:jc w:val="center"/>
      </w:pPr>
      <w:r>
        <w:rPr>
          <w:rFonts w:ascii="宋体" w:hAnsi="宋体" w:eastAsia="宋体"/>
          <w:b w:val="0"/>
          <w:sz w:val="24"/>
        </w:rPr>
        <w:t>题　　目：B题  城市新能源公共充电网络智能规划与调度</w:t>
      </w:r>
    </w:p>
    <w:p w14:paraId="62DA1AC6">
      <w:r>
        <w:br w:type="page"/>
      </w:r>
    </w:p>
    <w:p w14:paraId="38AA73C0">
      <w:p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CB33C11">
      <w:pPr>
        <w:spacing w:line="360" w:lineRule="auto"/>
        <w:jc w:val="center"/>
      </w:pPr>
      <w:r>
        <w:rPr>
          <w:rFonts w:ascii="黑体" w:hAnsi="黑体" w:eastAsia="黑体"/>
          <w:b/>
          <w:sz w:val="36"/>
        </w:rPr>
        <w:t>城市新能源公共充电网络智能规划与调度</w:t>
      </w:r>
    </w:p>
    <w:p w14:paraId="75B916C7">
      <w:pPr>
        <w:spacing w:line="360" w:lineRule="auto"/>
        <w:jc w:val="center"/>
      </w:pPr>
      <w:r>
        <w:rPr>
          <w:rFonts w:ascii="黑体" w:hAnsi="黑体" w:eastAsia="黑体"/>
          <w:b/>
          <w:sz w:val="32"/>
        </w:rPr>
        <w:t>摘  要</w:t>
      </w:r>
    </w:p>
    <w:p w14:paraId="0807594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问题一：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采用“留一法日总量预测 + XGBoost残差拟合”双层模型。预测精度（测试集）：残差 MAE=59.5kW，RMSE=83.8kW，最终各区域日负荷预测偏差在 2.3% 以内。</w:t>
      </w:r>
    </w:p>
    <w:p w14:paraId="52529AD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556732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问题二：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建立多目标（成本最小、覆盖率最大、负荷最均衡、电网风险最低）配置模型，用 NSGA-II 求解。经熵权-TOPSIS 选出最优方案：新增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快充桩 7 台、慢充桩 197 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，总投资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199.6 万元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，服务覆盖率由 54.6% 提升至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99.3%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，消除了过载风险。</w:t>
      </w:r>
    </w:p>
    <w:p w14:paraId="62CA772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5BAC2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问题三：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采用分时电价填谷优先策略。调度后，全市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工作日峰谷差降低 41.4%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，负荷率升至 58.5%；周末峰谷差降低 11.9%；原有超 2100kW 的过载区域全部消除。</w:t>
      </w:r>
    </w:p>
    <w:p w14:paraId="15B1872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B7D44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问题四：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构建基于多情景（10%/15%/20%）的生命周期动态扩展模型，结合调度有效容量（容量提升 14.9%）。在基准增长下，未来三年分阶段累计扩容成本约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28 万元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，确保充电网络健康度维持在 0.82 以上。</w:t>
      </w:r>
    </w:p>
    <w:p w14:paraId="3B5221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6A8042C5">
      <w:pPr>
        <w:spacing w:line="360" w:lineRule="auto"/>
        <w:ind w:firstLine="480"/>
      </w:pPr>
    </w:p>
    <w:p w14:paraId="62F74DBC">
      <w:pPr>
        <w:spacing w:line="360" w:lineRule="auto"/>
      </w:pPr>
    </w:p>
    <w:p w14:paraId="2B72D021">
      <w:pPr>
        <w:spacing w:line="360" w:lineRule="auto"/>
        <w:ind w:firstLine="480"/>
      </w:pPr>
      <w:r>
        <w:rPr>
          <w:rFonts w:ascii="黑体" w:hAnsi="黑体" w:eastAsia="黑体"/>
          <w:b/>
          <w:sz w:val="24"/>
        </w:rPr>
        <w:t>关键词：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充电需求预测；双层模型；NSGA-II多目标优化；分时电价调度；生命周期动态扩展</w:t>
      </w:r>
    </w:p>
    <w:p w14:paraId="06279615">
      <w:r>
        <w:br w:type="page"/>
      </w:r>
    </w:p>
    <w:p w14:paraId="47EA89B1">
      <w:pPr>
        <w:sectPr>
          <w:footerReference r:id="rId5" w:type="default"/>
          <w:pgSz w:w="11906" w:h="16838"/>
          <w:pgMar w:top="1440" w:right="1440" w:bottom="1440" w:left="1440" w:header="720" w:footer="720" w:gutter="0"/>
          <w:pgNumType w:start="1"/>
          <w:cols w:space="720" w:num="1"/>
          <w:docGrid w:linePitch="360" w:charSpace="0"/>
        </w:sectPr>
      </w:pPr>
    </w:p>
    <w:p w14:paraId="62451EBB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一、问题重述</w:t>
      </w:r>
    </w:p>
    <w:p w14:paraId="73C68904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1.1 问题背景</w:t>
      </w:r>
    </w:p>
    <w:p w14:paraId="4A648A7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在“双碳”目标与新型电力系统建设背景下，新能源汽车已成为城市交通绿色低碳转型的重要载体。随着新能源汽车保有量持续快速增长，城市公共充电网络面临充电需求时空分布不均、充电桩布局不合理、电网峰谷负荷冲突明显、区域供电容量约束紧张等现实问题。某市主城区划分为10个具有不同功能的典型区域，涵盖老城核心区、城市新区、工业区、城郊过渡区等类型，各区域在人口密度、车流量、商业繁华程度等方面存在显著差异。本题要求通过数学建模，为该市规划一个更智能、更经济、更安全的公共充电网络。</w:t>
      </w:r>
    </w:p>
    <w:p w14:paraId="2F25DCE1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1.2 问题重述</w:t>
      </w:r>
    </w:p>
    <w:p w14:paraId="24DFB1F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基于附件提供的10个区域基础数据、分时段充电车次与负荷数据、电网容量数据及基础参数，本题需解决四个递进问题：</w:t>
      </w:r>
    </w:p>
    <w:p w14:paraId="3236737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问题1（需求预测）：分析充电需求在空间、时段、工作日/周末三个维度的分布规律与差异特征，综合多因素构建充电需求预测模型，对各区域未来短期日均充电需求进行预测。</w:t>
      </w:r>
    </w:p>
    <w:p w14:paraId="4CD5FF9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问题2（优化配置）：以投资成本最小、服务覆盖率最高、电网负荷最均衡为目标，在电网容量等约束下，确定各区域新增快充桩与慢充桩的数量。</w:t>
      </w:r>
    </w:p>
    <w:p w14:paraId="5868BFAC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问题3（负荷调度）：采用“峰、平、谷”三段式分时电价引导用户转移充电行为，假设高峰时段20%充电负荷可转移至低谷时段，评估调度对峰谷差的改善效果。</w:t>
      </w:r>
    </w:p>
    <w:p w14:paraId="24C793FC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问题4（三年规划）：假设未来3年新能源汽车保有量每年增长15%，针对服务覆盖率下降和电网过载风险，提出分阶段优化调整建议。</w:t>
      </w:r>
    </w:p>
    <w:p w14:paraId="17708043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二、模型假设与符号说明</w:t>
      </w:r>
    </w:p>
    <w:p w14:paraId="2389FCA1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2.1 模型假设</w:t>
      </w:r>
    </w:p>
    <w:p w14:paraId="1F28455F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(1) </w:t>
      </w:r>
      <w:r>
        <w:rPr>
          <w:rFonts w:ascii="宋体" w:hAnsi="宋体" w:eastAsia="宋体"/>
          <w:b w:val="0"/>
          <w:sz w:val="24"/>
        </w:rPr>
        <w:t>各区域充电需求相互独立，不存在跨区域竞争性充电行为；</w:t>
      </w:r>
    </w:p>
    <w:p w14:paraId="31C85E36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(2) </w:t>
      </w:r>
      <w:r>
        <w:rPr>
          <w:rFonts w:ascii="宋体" w:hAnsi="宋体" w:eastAsia="宋体"/>
          <w:b w:val="0"/>
          <w:sz w:val="24"/>
        </w:rPr>
        <w:t>充电负荷与充电车次存在稳定的单车平均充电量关系，可由数据统计得出；</w:t>
      </w:r>
    </w:p>
    <w:p w14:paraId="1195687B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(3) </w:t>
      </w:r>
      <w:r>
        <w:rPr>
          <w:rFonts w:ascii="宋体" w:hAnsi="宋体" w:eastAsia="宋体"/>
          <w:b w:val="0"/>
          <w:sz w:val="24"/>
        </w:rPr>
        <w:t>分时电价实施后，仅发生峰→谷单向负荷转移，平段负荷保持不变；</w:t>
      </w:r>
    </w:p>
    <w:p w14:paraId="57AF3BE7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(4) </w:t>
      </w:r>
      <w:r>
        <w:rPr>
          <w:rFonts w:ascii="宋体" w:hAnsi="宋体" w:eastAsia="宋体"/>
          <w:b w:val="0"/>
          <w:sz w:val="24"/>
        </w:rPr>
        <w:t>各区域电网容量在规划期内保持稳定，不考虑电网升级扩容；</w:t>
      </w:r>
    </w:p>
    <w:p w14:paraId="02657B04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(5) </w:t>
      </w:r>
      <w:r>
        <w:rPr>
          <w:rFonts w:ascii="宋体" w:hAnsi="宋体" w:eastAsia="宋体"/>
          <w:b w:val="0"/>
          <w:sz w:val="24"/>
        </w:rPr>
        <w:t>快充桩与慢充桩的服务能力（车次/日）按附件5给定参数计算，不考虑设备故障与维护停机；</w:t>
      </w:r>
    </w:p>
    <w:p w14:paraId="79EEF51D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(6) </w:t>
      </w:r>
      <w:r>
        <w:rPr>
          <w:rFonts w:ascii="宋体" w:hAnsi="宋体" w:eastAsia="宋体"/>
          <w:b w:val="0"/>
          <w:sz w:val="24"/>
        </w:rPr>
        <w:t>服务覆盖率简化为充电需求被覆盖面积与区域总面积之比；</w:t>
      </w:r>
    </w:p>
    <w:p w14:paraId="0937DCC5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(7) </w:t>
      </w:r>
      <w:r>
        <w:rPr>
          <w:rFonts w:ascii="宋体" w:hAnsi="宋体" w:eastAsia="宋体"/>
          <w:b w:val="0"/>
          <w:sz w:val="24"/>
        </w:rPr>
        <w:t>新能源汽车保有量年增长率15%均匀作用于各区域，不考虑区域差异化增长；</w:t>
      </w:r>
    </w:p>
    <w:p w14:paraId="55D8E429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(8) </w:t>
      </w:r>
      <w:r>
        <w:rPr>
          <w:rFonts w:ascii="宋体" w:hAnsi="宋体" w:eastAsia="宋体"/>
          <w:b w:val="0"/>
          <w:sz w:val="24"/>
        </w:rPr>
        <w:t>工作日与周末的充电模式差异稳定，不因季节或节假日大幅波动；</w:t>
      </w:r>
    </w:p>
    <w:p w14:paraId="4BE64386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(9) </w:t>
      </w:r>
      <w:r>
        <w:rPr>
          <w:rFonts w:ascii="宋体" w:hAnsi="宋体" w:eastAsia="宋体"/>
          <w:b w:val="0"/>
          <w:sz w:val="24"/>
        </w:rPr>
        <w:t>电网过载判定仅考虑绝对负荷阈值（&gt;2100kW持续&gt;15分钟），不考虑电能质量指标；</w:t>
      </w:r>
    </w:p>
    <w:p w14:paraId="539CBFA5">
      <w:pPr>
        <w:spacing w:line="360" w:lineRule="auto"/>
        <w:ind w:left="480"/>
      </w:pPr>
      <w:r>
        <w:rPr>
          <w:rFonts w:ascii="宋体" w:hAnsi="宋体" w:eastAsia="宋体"/>
          <w:b/>
          <w:sz w:val="24"/>
        </w:rPr>
        <w:t xml:space="preserve">(10) </w:t>
      </w:r>
      <w:r>
        <w:rPr>
          <w:rFonts w:ascii="宋体" w:hAnsi="宋体" w:eastAsia="宋体"/>
          <w:b w:val="0"/>
          <w:sz w:val="24"/>
        </w:rPr>
        <w:t>各区域内部充电需求均匀分布，不考虑微观尺度的热点集聚。</w:t>
      </w:r>
    </w:p>
    <w:p w14:paraId="5CE7261F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2.2 符号说明</w:t>
      </w:r>
    </w:p>
    <w:tbl>
      <w:tblPr>
        <w:tblStyle w:val="33"/>
        <w:tblW w:w="0" w:type="auto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7558C98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tcBorders>
              <w:bottom w:val="single" w:color="000000" w:sz="4" w:space="0"/>
            </w:tcBorders>
            <w:shd w:val="clear" w:color="auto" w:fill="F5F5F5"/>
          </w:tcPr>
          <w:p w14:paraId="7CC93D26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符号</w:t>
            </w:r>
          </w:p>
        </w:tc>
        <w:tc>
          <w:tcPr>
            <w:tcW w:w="3009" w:type="dxa"/>
            <w:tcBorders>
              <w:bottom w:val="single" w:color="000000" w:sz="4" w:space="0"/>
            </w:tcBorders>
            <w:shd w:val="clear" w:color="auto" w:fill="F5F5F5"/>
          </w:tcPr>
          <w:p w14:paraId="57AED101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含义</w:t>
            </w:r>
          </w:p>
        </w:tc>
        <w:tc>
          <w:tcPr>
            <w:tcW w:w="3009" w:type="dxa"/>
            <w:tcBorders>
              <w:bottom w:val="single" w:color="000000" w:sz="4" w:space="0"/>
            </w:tcBorders>
            <w:shd w:val="clear" w:color="auto" w:fill="F5F5F5"/>
          </w:tcPr>
          <w:p w14:paraId="1C3D6207"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单位</w:t>
            </w:r>
          </w:p>
        </w:tc>
      </w:tr>
      <w:tr w14:paraId="67D0938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236AA59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i = 1,2,…,10</w:t>
            </w:r>
          </w:p>
        </w:tc>
        <w:tc>
          <w:tcPr>
            <w:tcW w:w="3009" w:type="dxa"/>
          </w:tcPr>
          <w:p w14:paraId="28CB8043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区域编号</w:t>
            </w:r>
          </w:p>
        </w:tc>
        <w:tc>
          <w:tcPr>
            <w:tcW w:w="3009" w:type="dxa"/>
          </w:tcPr>
          <w:p w14:paraId="695C10CE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—</w:t>
            </w:r>
          </w:p>
        </w:tc>
      </w:tr>
      <w:tr w14:paraId="386D80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FFD502A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t = 0,1,…,23</w:t>
            </w:r>
          </w:p>
        </w:tc>
        <w:tc>
          <w:tcPr>
            <w:tcW w:w="3009" w:type="dxa"/>
          </w:tcPr>
          <w:p w14:paraId="17A1FFEA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时段（小时）</w:t>
            </w:r>
          </w:p>
        </w:tc>
        <w:tc>
          <w:tcPr>
            <w:tcW w:w="3009" w:type="dxa"/>
          </w:tcPr>
          <w:p w14:paraId="609EBCFF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h</w:t>
            </w:r>
          </w:p>
        </w:tc>
      </w:tr>
      <w:tr w14:paraId="3B5BCBE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4A478E5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D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75C2F070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区域i的日均充电需求</w:t>
            </w:r>
          </w:p>
        </w:tc>
        <w:tc>
          <w:tcPr>
            <w:tcW w:w="3009" w:type="dxa"/>
          </w:tcPr>
          <w:p w14:paraId="4DAAC3CD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kWh/日</w:t>
            </w:r>
          </w:p>
        </w:tc>
      </w:tr>
      <w:tr w14:paraId="25EFD6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352009E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P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4B586881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区域i的人口密度</w:t>
            </w:r>
          </w:p>
        </w:tc>
        <w:tc>
          <w:tcPr>
            <w:tcW w:w="3009" w:type="dxa"/>
          </w:tcPr>
          <w:p w14:paraId="49072FBB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人/km²</w:t>
            </w:r>
          </w:p>
        </w:tc>
      </w:tr>
      <w:tr w14:paraId="4971F9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5E6CC0A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V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3510313A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区域i的日均车流量</w:t>
            </w:r>
          </w:p>
        </w:tc>
        <w:tc>
          <w:tcPr>
            <w:tcW w:w="3009" w:type="dxa"/>
          </w:tcPr>
          <w:p w14:paraId="2E8E2C2C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辆/日</w:t>
            </w:r>
          </w:p>
        </w:tc>
      </w:tr>
      <w:tr w14:paraId="4B813AD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F1A61CC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B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40F8DE65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区域i的商业POI数</w:t>
            </w:r>
          </w:p>
        </w:tc>
        <w:tc>
          <w:tcPr>
            <w:tcW w:w="3009" w:type="dxa"/>
          </w:tcPr>
          <w:p w14:paraId="3E7C0E62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个</w:t>
            </w:r>
          </w:p>
        </w:tc>
      </w:tr>
      <w:tr w14:paraId="3559DA4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2DC358CB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N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sz w:val="18"/>
                <w:vertAlign w:val="superscript"/>
              </w:rPr>
              <w:t>f</w:t>
            </w:r>
            <w:r>
              <w:rPr>
                <w:rFonts w:ascii="Times New Roman" w:hAnsi="Times New Roman" w:eastAsia="Times New Roman"/>
                <w:i/>
                <w:sz w:val="24"/>
              </w:rPr>
              <w:t>, N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sz w:val="18"/>
                <w:vertAlign w:val="superscript"/>
              </w:rPr>
              <w:t>s</w:t>
            </w:r>
          </w:p>
        </w:tc>
        <w:tc>
          <w:tcPr>
            <w:tcW w:w="3009" w:type="dxa"/>
          </w:tcPr>
          <w:p w14:paraId="3571B50E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区域i的现有快充/慢充桩数量</w:t>
            </w:r>
          </w:p>
        </w:tc>
        <w:tc>
          <w:tcPr>
            <w:tcW w:w="3009" w:type="dxa"/>
          </w:tcPr>
          <w:p w14:paraId="7EC690B0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个</w:t>
            </w:r>
          </w:p>
        </w:tc>
      </w:tr>
      <w:tr w14:paraId="4C5C875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0D048661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ΔN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sz w:val="18"/>
                <w:vertAlign w:val="superscript"/>
              </w:rPr>
              <w:t>f</w:t>
            </w:r>
            <w:r>
              <w:rPr>
                <w:rFonts w:ascii="Times New Roman" w:hAnsi="Times New Roman" w:eastAsia="Times New Roman"/>
                <w:i/>
                <w:sz w:val="24"/>
              </w:rPr>
              <w:t>, ΔN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sz w:val="18"/>
                <w:vertAlign w:val="superscript"/>
              </w:rPr>
              <w:t>s</w:t>
            </w:r>
          </w:p>
        </w:tc>
        <w:tc>
          <w:tcPr>
            <w:tcW w:w="3009" w:type="dxa"/>
          </w:tcPr>
          <w:p w14:paraId="0A1B16D4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区域i的新增快充/慢充桩数量</w:t>
            </w:r>
          </w:p>
        </w:tc>
        <w:tc>
          <w:tcPr>
            <w:tcW w:w="3009" w:type="dxa"/>
          </w:tcPr>
          <w:p w14:paraId="530A0DA3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个</w:t>
            </w:r>
          </w:p>
        </w:tc>
      </w:tr>
      <w:tr w14:paraId="22507A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7B304597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C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3AC98C5C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区域i的电网总容量</w:t>
            </w:r>
          </w:p>
        </w:tc>
        <w:tc>
          <w:tcPr>
            <w:tcW w:w="3009" w:type="dxa"/>
          </w:tcPr>
          <w:p w14:paraId="0E33AE18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kW</w:t>
            </w:r>
          </w:p>
        </w:tc>
      </w:tr>
      <w:tr w14:paraId="09526A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4E41FCE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C</w:t>
            </w:r>
            <w:r>
              <w:rPr>
                <w:rFonts w:ascii="Times New Roman" w:hAnsi="Times New Roman" w:eastAsia="Times New Roman"/>
                <w:sz w:val="18"/>
                <w:vertAlign w:val="superscript"/>
              </w:rPr>
              <w:t>f</w:t>
            </w:r>
            <w:r>
              <w:rPr>
                <w:rFonts w:ascii="Times New Roman" w:hAnsi="Times New Roman" w:eastAsia="Times New Roman"/>
                <w:i/>
                <w:sz w:val="24"/>
              </w:rPr>
              <w:t>, C</w:t>
            </w:r>
            <w:r>
              <w:rPr>
                <w:rFonts w:ascii="Times New Roman" w:hAnsi="Times New Roman" w:eastAsia="Times New Roman"/>
                <w:sz w:val="18"/>
                <w:vertAlign w:val="superscript"/>
              </w:rPr>
              <w:t>s</w:t>
            </w:r>
          </w:p>
        </w:tc>
        <w:tc>
          <w:tcPr>
            <w:tcW w:w="3009" w:type="dxa"/>
          </w:tcPr>
          <w:p w14:paraId="606BC961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快充/慢充桩单台建设成本</w:t>
            </w:r>
          </w:p>
        </w:tc>
        <w:tc>
          <w:tcPr>
            <w:tcW w:w="3009" w:type="dxa"/>
          </w:tcPr>
          <w:p w14:paraId="4DA769F9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万元/台</w:t>
            </w:r>
          </w:p>
        </w:tc>
      </w:tr>
      <w:tr w14:paraId="36B00B5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46A60506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L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  <w:r>
              <w:rPr>
                <w:rFonts w:ascii="Times New Roman" w:hAnsi="Times New Roman" w:eastAsia="Times New Roman"/>
                <w:i/>
                <w:sz w:val="24"/>
              </w:rPr>
              <w:t>(t)</w:t>
            </w:r>
          </w:p>
        </w:tc>
        <w:tc>
          <w:tcPr>
            <w:tcW w:w="3009" w:type="dxa"/>
          </w:tcPr>
          <w:p w14:paraId="192BB851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区域i在t时段的充电负荷</w:t>
            </w:r>
          </w:p>
        </w:tc>
        <w:tc>
          <w:tcPr>
            <w:tcW w:w="3009" w:type="dxa"/>
          </w:tcPr>
          <w:p w14:paraId="25D3FCED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kW</w:t>
            </w:r>
          </w:p>
        </w:tc>
      </w:tr>
      <w:tr w14:paraId="28F98A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50361F51">
            <w:pPr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G</w:t>
            </w:r>
            <w:r>
              <w:rPr>
                <w:rFonts w:ascii="Times New Roman" w:hAnsi="Times New Roman" w:eastAsia="Times New Roman"/>
                <w:sz w:val="18"/>
                <w:vertAlign w:val="subscript"/>
              </w:rPr>
              <w:t>i</w:t>
            </w:r>
          </w:p>
        </w:tc>
        <w:tc>
          <w:tcPr>
            <w:tcW w:w="3009" w:type="dxa"/>
          </w:tcPr>
          <w:p w14:paraId="7744D44A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区域i的电网峰谷差</w:t>
            </w:r>
          </w:p>
        </w:tc>
        <w:tc>
          <w:tcPr>
            <w:tcW w:w="3009" w:type="dxa"/>
          </w:tcPr>
          <w:p w14:paraId="7A5494DD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kW</w:t>
            </w:r>
          </w:p>
        </w:tc>
      </w:tr>
      <w:tr w14:paraId="661987C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09220DD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η</w:t>
            </w:r>
          </w:p>
        </w:tc>
        <w:tc>
          <w:tcPr>
            <w:tcW w:w="3009" w:type="dxa"/>
          </w:tcPr>
          <w:p w14:paraId="4D1BB787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负荷转移率</w:t>
            </w:r>
          </w:p>
        </w:tc>
        <w:tc>
          <w:tcPr>
            <w:tcW w:w="3009" w:type="dxa"/>
          </w:tcPr>
          <w:p w14:paraId="466B60EF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%</w:t>
            </w:r>
          </w:p>
        </w:tc>
      </w:tr>
      <w:tr w14:paraId="7DC619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3DA69335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α</w:t>
            </w:r>
          </w:p>
        </w:tc>
        <w:tc>
          <w:tcPr>
            <w:tcW w:w="3009" w:type="dxa"/>
          </w:tcPr>
          <w:p w14:paraId="2BDABAC8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服务覆盖率</w:t>
            </w:r>
          </w:p>
        </w:tc>
        <w:tc>
          <w:tcPr>
            <w:tcW w:w="3009" w:type="dxa"/>
          </w:tcPr>
          <w:p w14:paraId="45369062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%</w:t>
            </w:r>
          </w:p>
        </w:tc>
      </w:tr>
      <w:tr w14:paraId="43DDD46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 w14:paraId="1CA456D3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r</w:t>
            </w:r>
          </w:p>
        </w:tc>
        <w:tc>
          <w:tcPr>
            <w:tcW w:w="3009" w:type="dxa"/>
          </w:tcPr>
          <w:p w14:paraId="4491547A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新能源汽车年增长率</w:t>
            </w:r>
          </w:p>
        </w:tc>
        <w:tc>
          <w:tcPr>
            <w:tcW w:w="3009" w:type="dxa"/>
          </w:tcPr>
          <w:p w14:paraId="4BCB6B58"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%</w:t>
            </w:r>
          </w:p>
        </w:tc>
      </w:tr>
    </w:tbl>
    <w:p w14:paraId="3D7AB2A7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三、问题一：充电需求时空分布分析与多因素预测模型</w:t>
      </w:r>
    </w:p>
    <w:p w14:paraId="6B042F0B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eastAsia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3.1</w:t>
      </w: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数据预处理与聚类分析</w:t>
      </w:r>
    </w:p>
    <w:p w14:paraId="5D884C9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能源汽车公共充电需求受到区域空间属性、交通活动水平以及时间周期变化等多因素共同影响，表现出明显的空间异质性和周期波动特征。本文首先对原始多源数据进行清洗、融合与特征构造，建立区域—时间尺度下的充电需求数据集。</w:t>
      </w:r>
    </w:p>
    <w:p w14:paraId="001163FB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预处理主要包括多源数据整合、异常值检测、数据标准化以及特征编码四个步骤。附件中的分时段数据采用二维宽表格式，本文采用“宽表转长表”方法，将数据转换为“区域—日期类型—小时”的结构，使每一条记录对应唯一的时间状态。融合后的数据共生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10×24×2=480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条有效样本。数据集包含空间静态特征（人口密度、车流量、商业POI、电网容量等）、时间周期特征（小时正余弦编码、工作日/周末标识）以及需求响应变量（充电负荷、充电车次）。</w:t>
      </w:r>
    </w:p>
    <w:p w14:paraId="6C3C759F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为了明确各区域在空间功能上的差异，本文利用标准化后的7维特征（人口密度、车流量、商业POI数、充电桩数量、快充数量、慢充数量、电网容量）对10个区域进行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K-means聚类分析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。如图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所示，通过肘部法则与轮廓系数的双重检验，确定最优聚类数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k=3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。此时轮廓系数为0.387，Inertia曲线出现明显拐点。</w:t>
      </w:r>
    </w:p>
    <w:p w14:paraId="765190CC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根据聚类结果（如图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右下角的聚类结果汇总表），将10个区域划分为三类：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老城核心区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（区域1、2、4）：人口密度高、商业POI密集，电网容量大；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城市新区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（区域3、5、6）：中等人口密度与车流量，发展潜力大；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城郊/工业区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（区域7、8、9、10）：人口密度低、区域面积大，商业POI少。</w:t>
      </w:r>
    </w:p>
    <w:p w14:paraId="0C849AA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5635" cy="3168650"/>
            <wp:effectExtent l="0" t="0" r="12065" b="6350"/>
            <wp:docPr id="16" name="图片 16" descr="cluster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luster_analysi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087A">
      <w:pPr>
        <w:spacing w:line="360" w:lineRule="auto"/>
        <w:jc w:val="center"/>
        <w:rPr>
          <w:rFonts w:ascii="黑体" w:hAnsi="黑体" w:eastAsia="黑体"/>
          <w:b/>
          <w:sz w:val="28"/>
        </w:rPr>
      </w:pPr>
      <w:r>
        <w:rPr>
          <w:rFonts w:eastAsia="宋体"/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1</w:t>
      </w:r>
      <w:r>
        <w:rPr>
          <w:rFonts w:eastAsia="宋体"/>
          <w:sz w:val="18"/>
          <w:szCs w:val="18"/>
        </w:rPr>
        <w:t xml:space="preserve">  K-means聚类结果（肘部法则与轮廓系数）</w:t>
      </w:r>
    </w:p>
    <w:p w14:paraId="02EB50C5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3.2 充电需求三维分布特征</w:t>
      </w:r>
    </w:p>
    <w:p w14:paraId="41749A68">
      <w:pPr>
        <w:spacing w:line="360" w:lineRule="auto"/>
        <w:rPr>
          <w:rFonts w:eastAsia="黑体"/>
          <w:b/>
          <w:sz w:val="28"/>
        </w:rPr>
      </w:pPr>
      <w:r>
        <w:rPr>
          <w:rFonts w:hint="default" w:ascii="宋体" w:hAnsi="宋体" w:eastAsia="宋体"/>
          <w:sz w:val="24"/>
          <w:lang w:val="en-US" w:eastAsia="en-US"/>
        </w:rPr>
        <w:t>从区域空间、24小时时段、以及工作日/周末三个维度对充电需求进行系统分析。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3.2.1 空间维度分布特征</w:t>
      </w:r>
    </w:p>
    <w:p w14:paraId="58E2628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从空间维度看，10个区域充电需求呈现显著异质性。以工作日日均充电负荷为例，桥沟街道（区域4）日均负荷最高（19,882 kWh/日），河庄坪镇（区域7）最低（7,038 kWh/日）。将逐时充电负荷与人口密度、车流量、商业POI数进行Pearson相关分析，结果表明充电车次与充电负荷的相关性最强（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r=0.898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r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=0.898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），其次为车流量（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r=0.187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r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=0.187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）和慢充数量（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r=0.183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r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=0.183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）。充电车次与负荷的同步性验证了以充电负荷作为预测目标的合理性。</w:t>
      </w:r>
    </w:p>
    <w:p w14:paraId="563070E8">
      <w:pPr>
        <w:spacing w:line="360" w:lineRule="auto"/>
        <w:rPr>
          <w:rFonts w:hint="eastAsia" w:ascii="黑体" w:hAnsi="黑体" w:eastAsia="黑体" w:cs="黑体"/>
          <w:b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3.2.2 空间维度分布特征</w:t>
      </w:r>
    </w:p>
    <w:p w14:paraId="71DB8237">
      <w:p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</w:rPr>
        <w:t>从空间维度看，10个区域充电需求呈现显著异质性。以工作日日均充电负荷为例，桥沟街道（区域4）日均负荷最高（19,882 kWh/日），河庄坪镇（区域7）最低（7,038 kWh/日）。将逐时充电负荷与人口密度、车流量、商业POI数进行Pearson相关分析，结果表明充电车次与充电负荷的相关性最强（r=0.898r=0.898），其次为车流量（r=0.187r=0.187）和慢充数量（r=0.183r=0.183）。充电车次与负荷的同步性验证了以充电负荷作为预测目标的合理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1B24234">
      <w:pPr>
        <w:spacing w:line="36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3.2.3 时段维度分布特征</w:t>
      </w:r>
    </w:p>
    <w:p w14:paraId="1E826DCD">
      <w:pPr>
        <w:spacing w:line="360" w:lineRule="auto"/>
        <w:ind w:firstLine="480" w:firstLineChars="200"/>
        <w:jc w:val="left"/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从24小时时段维度分析，全市整体充电负荷呈现典型的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双峰结构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（如图1右上方的曲线图所示）：第一峰出现在11:00-14:00（午间高峰），第二峰出现在16:00-23:00（晚间高峰）。两个高峰时段负荷之和占全天总负荷的约 70.1%，低谷时段（00:00-07:00）平均负荷仅为高峰时段的 12.1%。低谷时段具备显著的“填谷”空间，为后续分时电价调度提供了直接的量化依据。</w:t>
      </w:r>
    </w:p>
    <w:p w14:paraId="3A792D55">
      <w:pPr>
        <w:spacing w:line="360" w:lineRule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b/>
          <w:sz w:val="24"/>
          <w:szCs w:val="24"/>
        </w:rPr>
        <w:t>3.2.4 工作日/周末维度分布特征</w:t>
      </w:r>
    </w:p>
    <w:p w14:paraId="37E50CB3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工作日与周末充电需求模式存在显著差异。城郊/工业区（如区域9，万花山镇）周末日均负荷高达 23,241 kWh/日，较工作日高出 99.6%；而老城核心区周末负荷较工作日降低 21.0%-24.9%，与核心城区周末商务活动减少的趋势一致。</w:t>
      </w:r>
    </w:p>
    <w:p w14:paraId="0E323D33">
      <w:pPr>
        <w:spacing w:line="360" w:lineRule="auto"/>
        <w:ind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029200" cy="43072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08F6">
      <w:pPr>
        <w:spacing w:line="360" w:lineRule="auto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eastAsia="宋体"/>
          <w:sz w:val="18"/>
          <w:szCs w:val="18"/>
        </w:rPr>
        <w:t>图</w:t>
      </w:r>
      <w:r>
        <w:rPr>
          <w:rFonts w:hint="eastAsia"/>
          <w:sz w:val="18"/>
          <w:szCs w:val="18"/>
          <w:lang w:val="en-US" w:eastAsia="zh-CN"/>
        </w:rPr>
        <w:t>2</w:t>
      </w:r>
      <w:r>
        <w:rPr>
          <w:rFonts w:eastAsia="宋体"/>
          <w:sz w:val="18"/>
          <w:szCs w:val="18"/>
        </w:rPr>
        <w:t xml:space="preserve">  各区域24小时充电负荷曲线与工作日/周末对比</w:t>
      </w:r>
    </w:p>
    <w:p w14:paraId="701C7E9C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3.3 影响因素分析</w:t>
      </w:r>
    </w:p>
    <w:p w14:paraId="07B68527">
      <w:pPr>
        <w:rPr>
          <w:rFonts w:hint="eastAsia" w:eastAsia="宋体"/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通过Pearson相关系数分析各因素与充电负荷之间的相关关系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图四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。车流量（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=0.187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=0.187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）、人口密度（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r=0.162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=0.162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）、商业POI数（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r=0.174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r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=0.174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）均与充电负荷呈正相关，但数值较小，表明充电需求受多因素非线性共同影响，这为后续引入XGBoost等非线性模型提供了理论支撑。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674995" cy="3475990"/>
            <wp:effectExtent l="0" t="0" r="1905" b="3810"/>
            <wp:docPr id="1" name="图片 1" descr="bd895ee1fcda768cf3998b05a56fc2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d895ee1fcda768cf3998b05a56fc2a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9030">
      <w:pPr>
        <w:jc w:val="center"/>
        <w:rPr>
          <w:rFonts w:hint="default" w:eastAsia="宋体"/>
          <w:lang w:val="en-US" w:eastAsia="zh-CN"/>
        </w:rPr>
      </w:pPr>
      <w:r>
        <w:rPr>
          <w:sz w:val="18"/>
        </w:rPr>
        <w:t>图</w:t>
      </w:r>
      <w:r>
        <w:rPr>
          <w:rFonts w:hint="eastAsia"/>
          <w:sz w:val="18"/>
          <w:lang w:val="en-US" w:eastAsia="zh-CN"/>
        </w:rPr>
        <w:t>3</w:t>
      </w:r>
      <w:r>
        <w:rPr>
          <w:sz w:val="18"/>
        </w:rPr>
        <w:t xml:space="preserve">  </w:t>
      </w:r>
      <w:r>
        <w:rPr>
          <w:rFonts w:hint="eastAsia"/>
          <w:sz w:val="18"/>
          <w:lang w:val="en-US" w:eastAsia="zh-CN"/>
        </w:rPr>
        <w:t>充电需求影响因素Pearson相关性热力图</w:t>
      </w:r>
    </w:p>
    <w:p w14:paraId="531FCA5B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30240" cy="3415030"/>
            <wp:effectExtent l="0" t="0" r="10160" b="1270"/>
            <wp:docPr id="5" name="图片 5" descr="5ebb86ed5086405de1588482d4528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ebb86ed5086405de1588482d452896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1F60">
      <w:pPr>
        <w:ind w:left="1440" w:leftChars="0" w:firstLine="720" w:firstLineChars="0"/>
        <w:rPr>
          <w:rFonts w:hint="eastAsia"/>
          <w:sz w:val="18"/>
          <w:lang w:val="en-US" w:eastAsia="zh-CN"/>
        </w:rPr>
      </w:pPr>
      <w:r>
        <w:rPr>
          <w:sz w:val="18"/>
        </w:rPr>
        <w:t>图</w:t>
      </w:r>
      <w:r>
        <w:rPr>
          <w:rFonts w:hint="eastAsia"/>
          <w:sz w:val="18"/>
          <w:lang w:val="en-US" w:eastAsia="zh-CN"/>
        </w:rPr>
        <w:t>4</w:t>
      </w:r>
      <w:r>
        <w:rPr>
          <w:sz w:val="18"/>
        </w:rPr>
        <w:t xml:space="preserve">  </w:t>
      </w:r>
      <w:r>
        <w:rPr>
          <w:rFonts w:hint="eastAsia"/>
          <w:sz w:val="18"/>
          <w:lang w:val="en-US" w:eastAsia="zh-CN"/>
        </w:rPr>
        <w:t>各因素与充电负荷的相关性排名</w:t>
      </w:r>
    </w:p>
    <w:p w14:paraId="125CE207">
      <w:pPr>
        <w:jc w:val="both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3.4 双层充电需求预测模型</w:t>
      </w:r>
    </w:p>
    <w:p w14:paraId="5569790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480" w:firstLineChars="2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en-US" w:bidi="ar-SA"/>
        </w:rPr>
        <w:t>由于充电负荷具有较强的时序连续性，且受到区域空间属性的耦合影响，传统线性模型难以充分刻画其变化规律。本文提出“物理基准层 + XGBoost残差修正”的双层预测模型</w:t>
      </w:r>
    </w:p>
    <w:p w14:paraId="397A658C">
      <w:pPr>
        <w:spacing w:line="360" w:lineRule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3.4.1 Layer 1：物理基准层（留一法预测）</w:t>
      </w:r>
    </w:p>
    <w:p w14:paraId="3131D7DC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由于直接使用机器学习模型容易产生物理意义上的错误（如凌晨虚假峰值），本文使用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留一法（Leave-One-Out, LOO）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构建物理基准预测。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对于每个区域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i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使用其余9个区域的历史负荷作为训练集，训练基于同类区域单位能耗模式的岭回归（Ridge）模型，预测该区域每日总负荷，并利用同类区域（老城核心区、城市新区、城郊/工业区）的标准能耗分配模式，将日总负荷分配至24小时。</w:t>
      </w:r>
    </w:p>
    <w:p w14:paraId="1DE1F663">
      <w:pPr>
        <w:spacing w:line="360" w:lineRule="auto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3.4.2 Layer 2：XGBoost残差拟合</w:t>
      </w:r>
    </w:p>
    <w:p w14:paraId="03F4A25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Layer 2 采用 XGBoost 对物理层的预测残差进行非线性修正。</w:t>
      </w:r>
    </w:p>
    <w:p w14:paraId="5460490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特征工程：构建包含13维特征的输入矩阵，包含空间静态特征（如人口密度、车流量、充电桩数量等）、时间周期特征（小时正弦余弦编码 </w:t>
      </w:r>
      <w:r>
        <w:rPr>
          <w:rStyle w:val="13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hour_sin/cos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、是否工作日 </w:t>
      </w:r>
      <w:r>
        <w:rPr>
          <w:rStyle w:val="13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is_weekday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、高峰/平段标识等）以及区域功能类别。</w:t>
      </w:r>
    </w:p>
    <w:p w14:paraId="712B9B8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模型训练：采用 80% 训练集、20% 测试集划分，目标变量为充电负荷残差。经网格搜索确定最优超参数为：</w:t>
      </w:r>
      <w:r>
        <w:rPr>
          <w:rStyle w:val="13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max_depth=5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learning_rate=0.03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n_estimators=300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，并引入正则化项防止过拟合。</w:t>
      </w:r>
    </w:p>
    <w:p w14:paraId="1F78356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9605" cy="4079875"/>
            <wp:effectExtent l="0" t="0" r="10795" b="9525"/>
            <wp:docPr id="17" name="图片 17" descr="xgboost_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xgboost_evaluation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ED2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5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：XGBoost残差拟合评价（含散点图、特征重要性、残差分布、模型架构图）</w:t>
      </w:r>
    </w:p>
    <w:p w14:paraId="4B19702A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根据图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的XGBoost模型评价结果：</w:t>
      </w:r>
    </w:p>
    <w:p w14:paraId="221B1C6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残差拟合指标：在测试集上，残差预测的 MAE = 59.47 kW，RMSE = 83.76 kW，R² = 0.5428。残差分布主要集中在±200kW以内，拟合效果良好。</w:t>
      </w:r>
    </w:p>
    <w:p w14:paraId="549EDF5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特征重要性（见图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右上角）：TOP5重要特征依次为车流量、充电桩数量、电网容量、商业POI数、人口密度，说明静态空间属性对残差仍有显著影响。</w:t>
      </w:r>
    </w:p>
    <w:p w14:paraId="3581AD2F">
      <w:pPr>
        <w:spacing w:before="240" w:after="120" w:line="360" w:lineRule="auto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3.5 模型</w:t>
      </w:r>
      <w:r>
        <w:rPr>
          <w:rFonts w:hint="eastAsia" w:ascii="黑体" w:hAnsi="黑体" w:eastAsia="黑体"/>
          <w:b/>
          <w:sz w:val="28"/>
          <w:lang w:val="en-US" w:eastAsia="zh-CN"/>
        </w:rPr>
        <w:t>预测</w:t>
      </w:r>
      <w:r>
        <w:rPr>
          <w:rFonts w:ascii="黑体" w:hAnsi="黑体" w:eastAsia="黑体"/>
          <w:b/>
          <w:sz w:val="28"/>
        </w:rPr>
        <w:t>结果分析</w:t>
      </w:r>
    </w:p>
    <w:p w14:paraId="3E6824F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经过两层模型的叠加，最终得到各区域未来短期日均充电需求。</w:t>
      </w:r>
    </w:p>
    <w:p w14:paraId="19DCB3F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3.5.1 模型预测性能评估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留一法保证了基础负荷的物理意义，XGBoost修正了局部偏差。全样本预测结果与真实值对比如图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左上角所示，各区域日均预测偏差均控制在 ±2.3% 以内，体现出极强的泛化能力。</w:t>
      </w:r>
    </w:p>
    <w:p w14:paraId="72B76B0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723890" cy="4287520"/>
            <wp:effectExtent l="0" t="0" r="3810" b="5080"/>
            <wp:docPr id="18" name="图片 18" descr="prediction_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prediction_summary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theme="minorBidi"/>
          <w:kern w:val="0"/>
          <w:sz w:val="18"/>
          <w:szCs w:val="22"/>
          <w:lang w:val="en-US" w:eastAsia="zh-CN" w:bidi="ar-SA"/>
        </w:rPr>
        <w:t>图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6</w:t>
      </w:r>
      <w:r>
        <w:rPr>
          <w:rFonts w:hint="default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各区域日均充电需求预测汇总</w:t>
      </w:r>
    </w:p>
    <w:p w14:paraId="6223AE6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3.5.2 各区域预测结果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 </w:t>
      </w:r>
      <w:r>
        <w:rPr>
          <w:rStyle w:val="136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prediction_result.xlsx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的实际数据，各区域未来短期日均充电需求精确预测结果如下：</w:t>
      </w:r>
    </w:p>
    <w:p w14:paraId="54156612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/>
        </w:rPr>
      </w:pPr>
      <w:r>
        <w:drawing>
          <wp:inline distT="0" distB="0" distL="114300" distR="114300">
            <wp:extent cx="5720715" cy="2371725"/>
            <wp:effectExtent l="0" t="0" r="6985" b="317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911B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3.5.3 需求空间分布特点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由图1左下角的饼图可知，充电需求占比呈现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老城核心区为主导（33.0%）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城市新区次之（36.2%）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城郊/工业区占比较低（30.9%）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格局。值得注意的是，城郊/工业区虽然整体占比较低，但因区域面积大、人口密度低，其单桩利用率（如万花山镇）极高，反映出城郊区域充电设施供不应求的潜在问题，为后续问题二的优化配置提供了关键输入。</w:t>
      </w:r>
    </w:p>
    <w:p w14:paraId="43A099BC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ascii="黑体" w:hAnsi="黑体" w:eastAsia="黑体"/>
          <w:b/>
          <w:sz w:val="2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：双层模型在测试集上的残差 MAE 仅为 59.5 kW，最大区域预测偏差不超过 2.3%，模型在空间与时间维度上的分布规律均具有明确实际物理意义。该预测结果将作为后续充电桩优化配置模型的核心输入参数。</w:t>
      </w:r>
    </w:p>
    <w:p w14:paraId="228D6159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四、问题二：充电桩多目标优化配置模型</w:t>
      </w:r>
    </w:p>
    <w:p w14:paraId="4D3B88EA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4.1 供需缺口与建设紧迫度分析</w:t>
      </w:r>
    </w:p>
    <w:p w14:paraId="34D6E22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在问题一中，我们已经完成了对10个区域充电负荷的精确预测。基于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prediction_result.xlsx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的预测日均需求，结合附件5的充电桩服务能力（快充桩80车次/日，慢充桩20车次/日），我们首先对现有充电桩的服务能力进行了核算。</w:t>
      </w:r>
    </w:p>
    <w:p w14:paraId="22FC607D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供需缺口评估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：经计算，10个区域现有的充电服务能力（3640~12040车次/日）均远大于预测车次需求（626~1498车次/日），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充电服务能力缺口为零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。然而，这并不意味着充电服务是“充裕”的。当前10个区域的平均地理覆盖率仅为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54.6%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，远低于附件5要求的 90% 下限。核心矛盾在于：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充电设施在空间分布上存在显著盲区，导致“数量够、但覆盖不到”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2B5075F9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为了量化各区域的建设紧迫度，本文构建了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建设紧迫度指数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，综合了需求缺口率、电网负载率及当前覆盖率不足三项因子。由于所有区域缺口率均为零，熵权法自动将其权重置零，实际有效因子为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覆盖率不足（权重0.549）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电网压力（权重0.451）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drawing>
          <wp:inline distT="0" distB="0" distL="114300" distR="114300">
            <wp:extent cx="5723890" cy="2124710"/>
            <wp:effectExtent l="0" t="0" r="3810" b="8890"/>
            <wp:docPr id="19" name="图片 19" descr="图1_建设紧迫度与供需缺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1_建设紧迫度与供需缺口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720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 xml:space="preserve">7 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各区域建设紧迫度与供需缺口评估：(a) 建设紧迫度指数排序；(b) 现有服务能力与预测车次需求对比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如图10(a)所示，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万花山镇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建设紧迫度指数高达100（排名第一），因其当前覆盖率仅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19.9%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且峰值负荷（2360 kW）已超出附件5的2100kW过载线；而凤凰山街道的紧迫度指数为0，其当前覆盖率已达82.3%且电网压力较小。这一差距揭示了新增充电桩规划的迫切区域。</w:t>
      </w:r>
    </w:p>
    <w:p w14:paraId="09A61D8A">
      <w:pPr>
        <w:spacing w:line="360" w:lineRule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4.2 区域供需缺口评价模型</w:t>
      </w:r>
    </w:p>
    <w:p w14:paraId="6BACAB5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传统布局模型通常假设区域内设施仅服务于本区域。然而，城市交通具有显著流动性。为此，本文引入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空间权重矩阵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W=(wij)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进行修正，其中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wij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表示区域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的充电桩对区域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的服务贡献权重，采用指数衰减形式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wij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​=exp(−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dij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​/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Ri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​)。</w:t>
      </w:r>
    </w:p>
    <w:p w14:paraId="0D29CD8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5728335" cy="5075555"/>
            <wp:effectExtent l="0" t="0" r="12065" b="4445"/>
            <wp:docPr id="20" name="图片 20" descr="图2_空间溢出权重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2_空间溢出权重热力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8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空间溢出权重矩阵 WW（行 ii：桩所在区域；列 jj：被服务区域）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所示，对角线元素均为1（表明本区域完全自我服务），核心城区之间（如宝塔山街道与南市街道）溢出权重达到0.17，说明跨区充电行为在核心区较为频繁，而城郊区域之间的溢出几乎为零。</w:t>
      </w:r>
    </w:p>
    <w:p w14:paraId="48F2380A">
      <w:pPr>
        <w:spacing w:line="360" w:lineRule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4.3 多目标充电桩优化配置模型</w:t>
      </w:r>
    </w:p>
    <w:p w14:paraId="74251CAF">
      <w:pPr>
        <w:spacing w:line="360" w:lineRule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由于本问题涉及经济性（成本）、服务性（覆盖率）和安全性（电网风险）三个互相冲突的维度，传统加权法高度依赖于主观权重，且难以在单次求解中获得全局最优。因此，本文采用带精英策略的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非支配排序遗传算法（NSGA-II）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进行求解。</w:t>
      </w:r>
    </w:p>
    <w:p w14:paraId="798DE09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黑体" w:hAnsi="黑体" w:eastAsia="黑体" w:cs="黑体"/>
          <w:i w:val="0"/>
          <w:iCs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4.3.1 目标函数与决策变量</w:t>
      </w:r>
    </w:p>
    <w:p w14:paraId="724AE68A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决策变量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X=(ΔN1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f,ΔN1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s,…,ΔN10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f,ΔN10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为20个整数变量。包含四个优化目标：</w:t>
      </w:r>
    </w:p>
    <w:p w14:paraId="6C04BE1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建设成本最小化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Z1=∑(6ΔN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i^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f+0.8ΔNi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7B8CBC4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地理覆盖率最大化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Z2=Acover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Atotal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2CEA0E6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电网负荷均衡化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Z3=Var(r1,r2,…,r10)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，其中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为区域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的负载率；</w:t>
      </w:r>
    </w:p>
    <w:p w14:paraId="2D9E244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电网风险最小化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Z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4​=∑max(0,负载率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​−0.9)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2。</w:t>
      </w:r>
    </w:p>
    <w:p w14:paraId="429C45E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4.3.2</w:t>
      </w:r>
      <w:r>
        <w:rPr>
          <w:rFonts w:hint="eastAsia" w:ascii="黑体" w:hAnsi="黑体" w:eastAsia="黑体" w:cs="黑体"/>
          <w:i w:val="0"/>
          <w:iCs w:val="0"/>
          <w:sz w:val="24"/>
          <w:szCs w:val="24"/>
        </w:rPr>
        <w:t xml:space="preserve"> 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求解过程与Pareto前沿</w:t>
      </w:r>
    </w:p>
    <w:p w14:paraId="2672C317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算法参数设定：种群规模100，迭代500代，交叉概率0.9，变异概率0.1。求解过程如图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所示。</w:t>
      </w:r>
    </w:p>
    <w:p w14:paraId="58EC5346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5719445" cy="1700530"/>
            <wp:effectExtent l="0" t="0" r="8255" b="1270"/>
            <wp:docPr id="21" name="图片 21" descr="图3_NSGA-II求解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图3_NSGA-II求解过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AFBE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</w:pPr>
      <w:r>
        <w:rPr>
          <w:rFonts w:hint="default" w:ascii="宋体" w:hAnsi="宋体" w:eastAsia="宋体" w:cstheme="minorBidi"/>
          <w:kern w:val="0"/>
          <w:sz w:val="18"/>
          <w:szCs w:val="22"/>
          <w:lang w:val="en-US" w:eastAsia="zh-CN" w:bidi="ar-SA"/>
        </w:rPr>
        <w:t>图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9</w:t>
      </w:r>
      <w:r>
        <w:rPr>
          <w:rFonts w:hint="default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NSGA-II 多目标优化求解过程：(a) 迭代收敛曲线；(b) 成本与覆盖率Pareto前沿（颜色深浅表示负荷率方差）；(c) 四目标归一化平行坐标图</w:t>
      </w:r>
    </w:p>
    <w:p w14:paraId="037BF74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(a)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显示，初始成本从528万元快速下降，在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50代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内即收敛至Pareto前沿附近，最大覆盖率也随之爬升至近100%。</w:t>
      </w:r>
    </w:p>
    <w:p w14:paraId="76EB2DE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(b)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展示了覆盖率随成本增加呈边际递减的规律：成本从0增至200万元时覆盖率提升显著；超过400万元后覆盖率接近饱和。</w:t>
      </w:r>
    </w:p>
    <w:p w14:paraId="0850D15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(c)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的平行坐标图中，红色线条标识了最终经过综合评价的折中方案。该散点图表明，所有Pareto解在电网风险目标上均表现优异（接近0），说明模型成功规避了过载风险。</w:t>
      </w:r>
    </w:p>
    <w:p w14:paraId="07D1A7F8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4.4 基于熵权-TOPSIS 的最优方案筛选</w:t>
      </w:r>
    </w:p>
    <w:p w14:paraId="37495BF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NSGA-II算法共输出100个Pareto非支配解。为了从中选取唯一的最终推荐方案，我们采用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熵权-TOPSIS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进行客观综合评价。</w:t>
      </w:r>
    </w:p>
    <w:p w14:paraId="6EC813F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31510" cy="2369820"/>
            <wp:effectExtent l="0" t="0" r="8890" b="5080"/>
            <wp:docPr id="22" name="图片 22" descr="图4_TOPSIS最优解选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图4_TOPSIS最优解选取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A94D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图10 最优解选取与权重确定：(a) 候选方案TOPSIS相对贴近度排序；(b) 熵权法计算的四目标客观权重</w:t>
      </w:r>
    </w:p>
    <w:p w14:paraId="2D649F1C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如图1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(b)所示，熵权法计算出的客观权重分别为：</w:t>
      </w:r>
    </w:p>
    <w:p w14:paraId="428B7A8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电网风险权重：90.6%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（在Pareto解集中方差极小，算法自动赋予极高权重以凸显其约束刚性）；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成本权重：3.3%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覆盖率权重：3.1%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负荷均衡权重：3.0%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5C9BDE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在综合考虑权重与相对贴近度后，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方案#36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被确定为最优方案（见图13(a)中的红色柱）。</w:t>
      </w:r>
    </w:p>
    <w:p w14:paraId="78176671">
      <w:pPr>
        <w:spacing w:line="360" w:lineRule="auto"/>
        <w:rPr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4.5 Pareto方案选择模型</w:t>
      </w:r>
    </w:p>
    <w:p w14:paraId="12AA7B6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4.5.1 各区域最优新增桩数量</w:t>
      </w:r>
    </w:p>
    <w:p w14:paraId="2C898DFA">
      <w:pPr>
        <w:spacing w:line="360" w:lineRule="auto"/>
        <w:ind w:firstLine="48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最优方案（方案#36）的具体配置如表4-1所示。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总投资总计 199.6 万元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，涵盖新增快充桩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 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、新增慢充桩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197 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00C2E43">
      <w:p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表4-1 各区域最优新增快充桩与慢充桩配置方案</w:t>
      </w:r>
    </w:p>
    <w:p w14:paraId="2E11AE22">
      <w:pPr>
        <w:spacing w:line="360" w:lineRule="auto"/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5728335" cy="4537075"/>
            <wp:effectExtent l="0" t="0" r="12065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53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9707">
      <w:pPr>
        <w:spacing w:line="360" w:lineRule="auto"/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2620" cy="2124710"/>
            <wp:effectExtent l="0" t="0" r="5080" b="8890"/>
            <wp:docPr id="23" name="图片 23" descr="图5_配置方案与优化效果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图5_配置方案与优化效果对比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EE47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图1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1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 最优配置方案与评估效果：(a) 各区域新增快充/慢充桩堆叠柱状图；(b) 优化前后平均覆盖率与负荷率标准差对比</w:t>
      </w:r>
    </w:p>
    <w:p w14:paraId="6D43A22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4.5.2 优化效果评价</w:t>
      </w:r>
    </w:p>
    <w:p w14:paraId="20ABA04D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所示，优化前后的关键指标发生了质的飞跃：</w:t>
      </w:r>
    </w:p>
    <w:p w14:paraId="6CFABB1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覆盖率大幅提升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：全市10个区域的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平均地理覆盖率由 54.6% 提升至 99.3%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。覆盖率不达标区域数从 10 个骤降至 0 个。</w:t>
      </w:r>
    </w:p>
    <w:p w14:paraId="0F5D681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电网负荷均衡性改善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：新建充电桩后，各区域负荷率标准差从 0.0032 降低至 0.0029，说明充电负荷在各区域的分布更加均匀，避免了个别区域电网过于紧张的隐患。</w:t>
      </w:r>
    </w:p>
    <w:p w14:paraId="337F208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投资产出比合理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：总投资 199.6 万元中，快充桩（7台）成本 42万元，慢充桩（197台）成本 157.6万元。慢充桩以相对较低的单位投资成本（0.8万元/台），承担了将服务面积延伸至全域的重任。</w:t>
      </w:r>
    </w:p>
    <w:p w14:paraId="03DE7037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：NSGA-II与熵权-TOPSIS的联合求解，成功在199.6万元的预算内实现了99.3%的服务覆盖率，消除了原有充电服务盲区，且电网过载风险区域数维持为0（未恶化），是兼顾经济性、服务性与安全性的全局最优解。</w:t>
      </w:r>
    </w:p>
    <w:p w14:paraId="290F76D7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五、问题三：分时电价负荷调度与峰谷差分析</w:t>
      </w:r>
    </w:p>
    <w:p w14:paraId="4668FC15">
      <w:pPr>
        <w:spacing w:before="240" w:after="120" w:line="360" w:lineRule="auto"/>
        <w:rPr>
          <w:b/>
          <w:bCs w:val="0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5.1 问题分析</w:t>
      </w:r>
    </w:p>
    <w:p w14:paraId="7963F9B9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问题三要求采用“峰、平、谷”三段式分时电价，引导用户将充电需求从高峰时段转移至低谷时段，以降低电网峰谷差。本问题独立于需求预测与布局优化，直接基于附件3提供的原始充电负荷数据进行建模。</w:t>
      </w:r>
    </w:p>
    <w:p w14:paraId="45DC938F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时电价的核心机制是利用价格杠杆改变用户充电行为：高峰时段电价上浮70%（1.19元/kWh），低谷时段电价下浮70%（0.21元/kWh），峰谷电价差达5.7倍。根据附件5，高峰时段为11:00–14:00和16:00–23:00（共10小时），平段为07:00–11:00和14:00–16:00（共6小时），低谷为00:00–07:00（共7小时）。假设实施分时电价后，高峰时段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的充电负荷可转移至低谷时段，且总用电量保持不变，仅发生高峰→低谷单向转移。</w:t>
      </w:r>
    </w:p>
    <w:p w14:paraId="04AB3C5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本节首先基于附件3计算调度前各区域及全市的峰谷差和过载风险；随后分别采用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“均匀分配”（方案A）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“填谷优先/经济调度”（方案B）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两种策略将高峰转移负荷分配至低谷各小时，对比两种策略的填谷效果；最后从峰谷差降低率、负荷率提升和过载风险消除三个维度综合评估调度效果。</w:t>
      </w:r>
    </w:p>
    <w:p w14:paraId="2A147F98">
      <w:pPr>
        <w:spacing w:before="240" w:after="120" w:line="360" w:lineRule="auto"/>
        <w:rPr>
          <w:b/>
          <w:bCs w:val="0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5.2 峰谷差计算与负荷转移模型</w:t>
      </w:r>
    </w:p>
    <w:p w14:paraId="44A476F3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5.2.1 符号定义</w:t>
      </w:r>
    </w:p>
    <w:p w14:paraId="72F0D973">
      <w:pPr>
        <w:spacing w:before="240" w:after="120" w:line="360" w:lineRule="auto"/>
      </w:pPr>
      <w:r>
        <w:rPr>
          <w:rFonts w:eastAsia="宋体"/>
          <w:sz w:val="24"/>
        </w:rPr>
        <w:t>设L_(i,d)(t)为区域i在日期类型d、时段t的原始充电负荷（kW），其中i=1,2,…,10，d∈{工作日, 周末}，t=0,1,…,23。高峰时段集合T_peak={11,12,13,16,17,18,19,20,21,22}，平段集合T_flat={7,8,9,10,14,15}，低谷集合T_valley={0,1,2,3,4,5,6}。负荷转移率η=0.20。</w:t>
      </w:r>
    </w:p>
    <w:p w14:paraId="0E2ED6B3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5.2.2 调度前峰谷差</w:t>
      </w:r>
    </w:p>
    <w:p w14:paraId="3BA684E6">
      <w:pPr>
        <w:spacing w:before="240" w:after="120" w:line="360" w:lineRule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各区域峰谷差定义为24小时内最大负荷与最小负荷之差：</w:t>
      </w:r>
    </w:p>
    <w:p w14:paraId="4967A283">
      <w:pPr>
        <w:spacing w:before="240" w:after="120" w:line="360" w:lineRule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829175" cy="542925"/>
            <wp:effectExtent l="0" t="0" r="9525" b="317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72337">
      <w:pPr>
        <w:spacing w:before="240" w:after="120" w:line="360" w:lineRule="auto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全市汇总峰谷差为各小时全市总负荷的最大值与最小值之差。此外，以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负荷率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（均值÷峰值×100%）作为反映负荷曲线平坦程度的补充评价指标。</w:t>
      </w:r>
    </w:p>
    <w:p w14:paraId="67B9A05A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5.2.3 负荷转移机制</w:t>
      </w:r>
    </w:p>
    <w:p w14:paraId="19486130">
      <w:pPr>
        <w:spacing w:before="240" w:after="120"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转移量计算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：高峰时段各小时提取20%负荷作为可转移量：</w:t>
      </w:r>
    </w:p>
    <w:p w14:paraId="6968BEA9">
      <w:pPr>
        <w:spacing w:before="240" w:after="120"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drawing>
          <wp:inline distT="0" distB="0" distL="114300" distR="114300">
            <wp:extent cx="4171950" cy="514350"/>
            <wp:effectExtent l="0" t="0" r="6350" b="635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方案A——均匀分配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：将转移总量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Q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Q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均匀加至7个低谷小时，每低谷小时增加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Q/7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kW。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方案B——填谷优先（经济调度）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：采用 Water-filling 算法，将低谷7小时按负荷从低到高排序，优先将转移量填入负荷最低的时段，逐层填平，避免“填谷造峰”。</w:t>
      </w:r>
    </w:p>
    <w:p w14:paraId="1E50AE43">
      <w:pPr>
        <w:spacing w:before="240" w:after="120" w:line="360" w:lineRule="auto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5.3 电网双层安全约束</w:t>
      </w:r>
    </w:p>
    <w:p w14:paraId="15FB2877">
      <w:pPr>
        <w:spacing w:before="240" w:after="120" w:line="360" w:lineRule="auto"/>
        <w:rPr>
          <w:rFonts w:hint="eastAsia" w:ascii="宋体" w:hAnsi="宋体" w:eastAsia="宋体" w:cs="宋体"/>
        </w:rPr>
      </w:pPr>
      <w:r>
        <w:rPr>
          <w:rFonts w:eastAsia="宋体"/>
          <w:sz w:val="24"/>
        </w:rPr>
        <w:t>根据附件4和附件5，充电负荷需同时满足两个层级的安全约束。</w:t>
      </w:r>
    </w:p>
    <w:p w14:paraId="198F533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区域容量上限（附件4）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：各区域各时段负荷不得超过该区域逐时电网最大允许负荷。</w:t>
      </w:r>
    </w:p>
    <w:p w14:paraId="78E1F74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过载判据（附件5）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：若负荷 &gt; 2,100 kW且持续 &gt; 15分钟，判定为过载。</w:t>
      </w:r>
    </w:p>
    <w:p w14:paraId="45C71385">
      <w:pPr>
        <w:spacing w:before="240" w:after="120" w:line="360" w:lineRule="auto"/>
        <w:rPr>
          <w:b/>
          <w:bCs w:val="0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5.4 调度效果评估指标</w:t>
      </w:r>
    </w:p>
    <w:p w14:paraId="6AA2BFD9">
      <w:pPr>
        <w:spacing w:before="240" w:after="120" w:line="360" w:lineRule="auto"/>
      </w:pPr>
      <w:r>
        <w:rPr>
          <w:rFonts w:eastAsia="宋体"/>
          <w:sz w:val="24"/>
        </w:rPr>
        <w:t>从以下维度量化分时电价的调度效果：</w:t>
      </w:r>
    </w:p>
    <w:p w14:paraId="590B8A19">
      <w:pPr>
        <w:spacing w:before="240" w:after="120" w:line="360" w:lineRule="auto"/>
      </w:pPr>
      <w:r>
        <w:rPr>
          <w:rFonts w:eastAsia="宋体"/>
          <w:sz w:val="24"/>
        </w:rPr>
        <w:t>（1）峰谷差降低率：γ_i = (ΔP_i^before − ΔP_i^after) / ΔP_i^before × 100%，衡量峰谷差的相对改善幅度。</w:t>
      </w:r>
    </w:p>
    <w:p w14:paraId="4E573A26">
      <w:pPr>
        <w:spacing w:before="240" w:after="120" w:line="360" w:lineRule="auto"/>
      </w:pPr>
      <w:r>
        <w:rPr>
          <w:rFonts w:eastAsia="宋体"/>
          <w:sz w:val="24"/>
        </w:rPr>
        <w:t>（2）负荷率提升：调度后负荷率与调度前负荷率之差（百分点），反映负荷曲线平坦化程度。</w:t>
      </w:r>
    </w:p>
    <w:p w14:paraId="7F6014BD">
      <w:pPr>
        <w:spacing w:before="240" w:after="120" w:line="360" w:lineRule="auto"/>
      </w:pPr>
      <w:r>
        <w:rPr>
          <w:rFonts w:eastAsia="宋体"/>
          <w:sz w:val="24"/>
        </w:rPr>
        <w:t>（3）高峰削峰率：(max_t L_i(t) − max_t L’_i(t)) / max_t L_i(t) × 100%，衡量峰值削减效果。</w:t>
      </w:r>
    </w:p>
    <w:p w14:paraId="178B9466">
      <w:pPr>
        <w:spacing w:before="240" w:after="120" w:line="360" w:lineRule="auto"/>
      </w:pPr>
      <w:r>
        <w:rPr>
          <w:rFonts w:eastAsia="宋体"/>
          <w:sz w:val="24"/>
        </w:rPr>
        <w:t>（4）过载风险消除：统计调度前后违反附件4或超过2,100 kW的区域和时段数量变化。</w:t>
      </w:r>
    </w:p>
    <w:p w14:paraId="76D9FDDC">
      <w:pPr>
        <w:spacing w:before="240" w:after="120" w:line="360" w:lineRule="auto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5.5 结果与分析</w:t>
      </w:r>
    </w:p>
    <w:p w14:paraId="3B888FB7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5.5.1 调度前峰谷差与过载风险</w:t>
      </w:r>
    </w:p>
    <w:p w14:paraId="2A362152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调度前，各区域及全市的详细指标见附录表5-1（对应Excel文件：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表_调度前分析.xlsx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）：</w:t>
      </w:r>
    </w:p>
    <w:p w14:paraId="27353E1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：全市峰值14,247 kW，谷值190 kW，峰谷差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14,057 kW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，负荷率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40.9%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。超2,100 kW的区域为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宝塔山街道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（1个时段，18:00-19:00负荷2,221 kW）。</w:t>
      </w:r>
    </w:p>
    <w:p w14:paraId="2DF48B4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eastAsia="宋体"/>
          <w:sz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：全市峰值11,917 kW，谷值21 kW，峰谷差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11,896 kW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，负荷率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46.6%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。超2,100 kW的区域为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万花山镇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（2个时段，12:00-14:00，峰值2,285 kW）。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所有区域均未违反附件4的逐时容量上限，说明实际充电负荷距离总容量上限仍有充足裕度，附件4约束不构成紧约束，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2,100 kW的过载判据是主要的调控红线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99DF891">
      <w:pPr>
        <w:spacing w:before="240" w:after="120" w:line="360" w:lineRule="auto"/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5.5.2 方案A与方案B对比分析</w:t>
      </w:r>
    </w:p>
    <w:p w14:paraId="20BE3882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方案A（均匀分配）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：工作日峰谷差降低率平均为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30.8%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，周末为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15.6%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F94DD0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方案B（经济调度/填谷优先）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：工作日峰谷差降低率平均为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39.4%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（高出8.6个百分点），周末为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16.0%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（高出0.3个百分点）。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由于方案B在所有20组（10区域×2种日期）场景中均使低谷负荷曲线更加平坦，有效避免了方案A可能造成的“填谷造峰”现象，因此下文分析均基于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方案B（经济调度/填谷优先）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展开。</w:t>
      </w:r>
    </w:p>
    <w:p w14:paraId="0E0BE1DE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5.5.3 调度后全市负荷曲线</w:t>
      </w:r>
    </w:p>
    <w:p w14:paraId="4992227A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实施分时电价并采用经济调度后，全市整体负荷曲线如图1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</w:t>
      </w:r>
    </w:p>
    <w:p w14:paraId="699B6330">
      <w:pPr>
        <w:spacing w:before="240" w:after="12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9605" cy="1854200"/>
            <wp:effectExtent l="0" t="0" r="0" b="0"/>
            <wp:docPr id="26" name="图片 26" descr="图15_全市调度前后负荷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图15_全市调度前后负荷曲线对比"/>
                    <pic:cNvPicPr>
                      <a:picLocks noChangeAspect="1"/>
                    </pic:cNvPicPr>
                  </pic:nvPicPr>
                  <pic:blipFill>
                    <a:blip r:embed="rId23"/>
                    <a:srcRect b="1378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985A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</w:pP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图1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2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全市24h调度前后充电负荷曲线对比（左=工作日，右=周末；橙色=调度前，蓝色=调度后）</w:t>
      </w:r>
    </w:p>
    <w:p w14:paraId="793A52C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工作日调度效果显著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：经济调度后，全市峰值从14,247 kW降至 9,973 kW（削峰23.0%），谷值从190 kW大幅抬升至 1,729 kW（填谷9.1倍）。峰谷差从14,057 kW大幅缩减至 8,244 kW，降低率高达 41.4%；负荷率从40.9%提升至 58.5%，负荷曲线的平坦度与稳定性显著增强。</w:t>
      </w:r>
    </w:p>
    <w:p w14:paraId="0DD51BD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周末调度效果相对有限：峰值从11,917 kW降至10,484 kW，谷值从21 kW抬升至1,433 kW，峰谷差降低率为 11.9%，负荷率维持46.6%不变。这是由于周末凌晨原始谷值极低，填谷空间巨大但总量有限，峰谷差降低主要来自削峰侧。</w:t>
      </w:r>
    </w:p>
    <w:p w14:paraId="41F2985F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5.5.4各区域差异化效果</w:t>
      </w:r>
    </w:p>
    <w:p w14:paraId="4562E093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各区域峰谷差降低率如图1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所示。</w:t>
      </w:r>
    </w:p>
    <w:p w14:paraId="00E8947E">
      <w:pPr>
        <w:spacing w:before="240" w:after="120" w:line="360" w:lineRule="auto"/>
        <w:rPr>
          <w:rFonts w:hint="eastAsia" w:ascii="黑体" w:hAnsi="黑体" w:eastAsia="黑体" w:cs="黑体"/>
          <w:b w:val="0"/>
          <w:bCs/>
          <w:sz w:val="28"/>
          <w:szCs w:val="28"/>
        </w:rPr>
      </w:pPr>
    </w:p>
    <w:p w14:paraId="3B7A46EC">
      <w:pPr>
        <w:spacing w:before="240" w:after="120" w:line="360" w:lineRule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5727065" cy="2031365"/>
            <wp:effectExtent l="0" t="0" r="0" b="0"/>
            <wp:docPr id="27" name="图片 27" descr="图16_各区域峰谷差降低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图16_各区域峰谷差降低率"/>
                    <pic:cNvPicPr>
                      <a:picLocks noChangeAspect="1"/>
                    </pic:cNvPicPr>
                  </pic:nvPicPr>
                  <pic:blipFill>
                    <a:blip r:embed="rId24"/>
                    <a:srcRect b="19033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C0C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图1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3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各区域峰谷差降低率（填谷优先方案）</w:t>
      </w:r>
    </w:p>
    <w:p w14:paraId="479112C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工作日各区域峰谷差降低率在 36.2%~45.1% 之间，平均 39.4%。桥沟街道降低率最高（45.1%），因其工作日负荷高度集中于晚高峰时段，转移量充足；姚店镇降低率最低（26.0%），因该区域负荷峰值常在非高峰时段（12:00-14:00）出现。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周末各区域峰谷差降低率在 0%~24.7% 之间，平均 16.0%。真武洞街道（安塞） 周末降低率最高（24.7%）；姚店镇周末峰谷差降低率为零，因其周末初始谷值即接近0，且峰值不在高峰电价时段，电价难以诱导填谷效应。</w:t>
      </w:r>
    </w:p>
    <w:p w14:paraId="164E8C6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黑体" w:hAnsi="黑体" w:eastAsia="黑体" w:cs="黑体"/>
          <w:b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5.5.5 分面负荷曲线与电网安全校验</w:t>
      </w:r>
    </w:p>
    <w:p w14:paraId="13D072B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14365" cy="3349625"/>
            <wp:effectExtent l="0" t="0" r="0" b="0"/>
            <wp:docPr id="28" name="图片 28" descr="图17_各区域分面负荷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图17_各区域分面负荷曲线"/>
                    <pic:cNvPicPr>
                      <a:picLocks noChangeAspect="1"/>
                    </pic:cNvPicPr>
                  </pic:nvPicPr>
                  <pic:blipFill>
                    <a:blip r:embed="rId25"/>
                    <a:srcRect b="11240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E148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left"/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</w:pP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>图1</w:t>
      </w:r>
      <w:r>
        <w:rPr>
          <w:rFonts w:hint="eastAsia" w:cstheme="minorBidi"/>
          <w:kern w:val="0"/>
          <w:sz w:val="18"/>
          <w:szCs w:val="22"/>
          <w:lang w:val="en-US" w:eastAsia="zh-CN" w:bidi="ar-SA"/>
        </w:rPr>
        <w:t>4</w:t>
      </w:r>
      <w:r>
        <w:rPr>
          <w:rFonts w:hint="eastAsia" w:ascii="宋体" w:hAnsi="宋体" w:eastAsia="宋体" w:cstheme="minorBidi"/>
          <w:kern w:val="0"/>
          <w:sz w:val="18"/>
          <w:szCs w:val="22"/>
          <w:lang w:val="en-US" w:eastAsia="zh-CN" w:bidi="ar-SA"/>
        </w:rPr>
        <w:t xml:space="preserve"> 各区域调度前后24h负荷曲线（4行×5列共20个子图；橙色=调度前，蓝色=调度后，红色虚线=附件4容量上限，灰色虚线=2100kW过载线）</w:t>
      </w:r>
    </w:p>
    <w:p w14:paraId="05719F86">
      <w:pPr>
        <w:spacing w:before="240" w:after="120" w:line="360" w:lineRule="auto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及图1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、表A所示，经济调度有效平抑了各区域峰谷差。</w:t>
      </w:r>
    </w:p>
    <w:p w14:paraId="6A4E9BEC">
      <w:pPr>
        <w:spacing w:before="240" w:after="120" w:line="360" w:lineRule="auto"/>
        <w:rPr>
          <w:rFonts w:eastAsia="宋体"/>
          <w:sz w:val="24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18810" cy="1987550"/>
            <wp:effectExtent l="0" t="0" r="0" b="0"/>
            <wp:docPr id="29" name="图片 29" descr="图18_各区域峰谷差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图18_各区域峰谷差对比"/>
                    <pic:cNvPicPr>
                      <a:picLocks noChangeAspect="1"/>
                    </pic:cNvPicPr>
                  </pic:nvPicPr>
                  <pic:blipFill>
                    <a:blip r:embed="rId26"/>
                    <a:srcRect b="1590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7EC">
      <w:pPr>
        <w:spacing w:before="240" w:after="120" w:line="360" w:lineRule="auto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eastAsia" w:eastAsia="宋体"/>
          <w:sz w:val="18"/>
          <w:szCs w:val="18"/>
          <w:lang w:val="en-US" w:eastAsia="zh-CN"/>
        </w:rPr>
        <w:t>图1</w:t>
      </w:r>
      <w:r>
        <w:rPr>
          <w:rFonts w:hint="eastAsia"/>
          <w:sz w:val="18"/>
          <w:szCs w:val="18"/>
          <w:lang w:val="en-US" w:eastAsia="zh-CN"/>
        </w:rPr>
        <w:t>5</w:t>
      </w:r>
      <w:r>
        <w:rPr>
          <w:rFonts w:hint="eastAsia" w:eastAsia="宋体"/>
          <w:sz w:val="18"/>
          <w:szCs w:val="18"/>
          <w:lang w:val="en-US" w:eastAsia="zh-CN"/>
        </w:rPr>
        <w:t xml:space="preserve"> 各区域调度前后峰谷差对比（左=工作日，右=周末；橙色=调度前，蓝色=调度后）</w:t>
      </w:r>
    </w:p>
    <w:p w14:paraId="71B684AB">
      <w:pPr>
        <w:spacing w:before="240" w:after="120" w:line="360" w:lineRule="auto"/>
      </w:pPr>
      <w:r>
        <w:rPr>
          <w:rFonts w:eastAsia="宋体"/>
          <w:sz w:val="24"/>
        </w:rPr>
        <w:t>调度前后过载风险评估如</w:t>
      </w:r>
      <w:r>
        <w:rPr>
          <w:rFonts w:hint="eastAsia"/>
          <w:sz w:val="24"/>
          <w:lang w:val="en-US" w:eastAsia="zh-CN"/>
        </w:rPr>
        <w:t>图16</w:t>
      </w:r>
      <w:r>
        <w:rPr>
          <w:rFonts w:eastAsia="宋体"/>
          <w:sz w:val="24"/>
        </w:rPr>
        <w:t>所示。</w:t>
      </w:r>
    </w:p>
    <w:p w14:paraId="600C1182">
      <w:pPr>
        <w:spacing w:before="240" w:after="120" w:line="360" w:lineRule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5160" cy="2060575"/>
            <wp:effectExtent l="0" t="0" r="0" b="0"/>
            <wp:docPr id="30" name="图片 30" descr="图19_过载风险消除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19_过载风险消除效果"/>
                    <pic:cNvPicPr>
                      <a:picLocks noChangeAspect="1"/>
                    </pic:cNvPicPr>
                  </pic:nvPicPr>
                  <pic:blipFill>
                    <a:blip r:embed="rId27"/>
                    <a:srcRect b="1786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FCFB">
      <w:pPr>
        <w:spacing w:before="240" w:after="120" w:line="360" w:lineRule="auto"/>
        <w:rPr>
          <w:rFonts w:hint="eastAsia" w:eastAsia="宋体"/>
          <w:sz w:val="18"/>
          <w:szCs w:val="18"/>
          <w:lang w:val="en-US" w:eastAsia="zh-CN"/>
        </w:rPr>
      </w:pPr>
      <w:r>
        <w:rPr>
          <w:rFonts w:hint="default" w:eastAsia="宋体"/>
          <w:sz w:val="18"/>
          <w:szCs w:val="18"/>
          <w:lang w:val="en-US" w:eastAsia="zh-CN"/>
        </w:rPr>
        <w:t>图1</w:t>
      </w:r>
      <w:r>
        <w:rPr>
          <w:rFonts w:hint="eastAsia"/>
          <w:sz w:val="18"/>
          <w:szCs w:val="18"/>
          <w:lang w:val="en-US" w:eastAsia="zh-CN"/>
        </w:rPr>
        <w:t>6</w:t>
      </w:r>
      <w:r>
        <w:rPr>
          <w:rFonts w:hint="default" w:eastAsia="宋体"/>
          <w:sz w:val="18"/>
          <w:szCs w:val="18"/>
          <w:lang w:val="en-US" w:eastAsia="zh-CN"/>
        </w:rPr>
        <w:t xml:space="preserve"> 调度前后各区域过载风险消除效果（2100kW判据，橙色=调度前，蓝色=调度后）</w:t>
      </w:r>
    </w:p>
    <w:p w14:paraId="79F4296A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如图1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及表B所示，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调度前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，宝塔山街道（工作日有1个超限时段）和万花山镇（周末有2个超限时段）存在2,100 kW过载风险；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调度后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，随着各区域高峰负荷被平滑削减，所有超出2,100 kW的时段全部清零，过载风险区域降为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，且各区域逐时负荷均远离附件4容量上限，电网安全运行得到保障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6E31710">
      <w:pPr>
        <w:spacing w:before="240" w:after="120" w:line="360" w:lineRule="auto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5.6 本章小结</w:t>
      </w:r>
    </w:p>
    <w:p w14:paraId="341B8CF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本文针对分时电价引导下的充电负荷调度问题，通过“均匀分配”与“填谷优先”两种策略的对比分析，验证了经济调度的优势。主要结论如下：</w:t>
      </w:r>
    </w:p>
    <w:p w14:paraId="7D66405C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第一，填谷优先策略显著优于均匀分配。基于价格弹性的经济调度模型有效提升了削峰填谷效果，工作日全市峰谷差降低率由方案A的30.8%提升至 41.4%，负荷率由40.9%提升至 58.5%。</w:t>
      </w:r>
    </w:p>
    <w:p w14:paraId="28FCAE97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第二，有效消除过载风险。调度前宝塔山街道、万花山镇存在超2,100 kW的过载风险，经济调度实施后，所有区域超限时段清零，电网运行安全裕度显著增强。</w:t>
      </w:r>
    </w:p>
    <w:p w14:paraId="7EC7B43D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，各区域响应效果存在异质性。工作日办公驱动型区域（桥沟街道、新城街道）峰谷差降低率超43%；周末消费驱动型区域（真武洞街道、枣园街道）响应效果较好。这一规律表明，未来可在政策设计中探索按区域功能设置差异化峰谷电价时段，以进一步提高电网调度的精准性与经济性。</w:t>
      </w:r>
    </w:p>
    <w:p w14:paraId="32BCCABB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六、问题四：考虑多阶段协同优化的充电网络生命周期动态扩展模型</w:t>
      </w:r>
    </w:p>
    <w:p w14:paraId="08D4CA00"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28"/>
        </w:rPr>
        <w:t>.1 问题分析</w:t>
      </w:r>
    </w:p>
    <w:p w14:paraId="1D8B4F4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前面三个问题中，本文分别完成了充电需求预测、充电设施优化布局以及充电负荷调度优化。然而，随着新能源汽车保有量持续增长，问题二确定的最优初始布局方案（新增7台快充桩、197台慢充桩，总投资199.6万元）将无法长期满足未来需求。问题四的核心在于：在问题二的初始建设基础之上，运用问题三的调度收益，研究“未来何时扩建、在哪扩建、扩建多少”的动态演进问题。</w:t>
      </w:r>
    </w:p>
    <w:p w14:paraId="43F3986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传统充电设施规划多采用一次性静态建设模式，忽略了需求增长的不确定性。同时，问题三中的分时电价经济调度可有效降低峰谷差，变相提升设施的有效利用率。因此，本文构建了“需求推演 → 容量修正 → 健康度评价 → 动态扩容决策”的全闭环生命周期动态扩展模型，实现从静态规划到动态响应的范式转变。</w:t>
      </w:r>
    </w:p>
    <w:p w14:paraId="26048265">
      <w:pPr>
        <w:spacing w:line="360" w:lineRule="auto"/>
      </w:pPr>
      <w:r>
        <w:rPr>
          <w:rFonts w:hint="eastAsia" w:ascii="黑体" w:hAnsi="黑体" w:eastAsia="黑体" w:cs="黑体"/>
          <w:b/>
          <w:sz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28"/>
        </w:rPr>
        <w:t>.2 多情景需求增长模型</w:t>
      </w:r>
    </w:p>
    <w:p w14:paraId="1D78D07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考虑到新能源汽车推广速度存在不确定性，本文设置三种增长情景：低增长（10%）、基准增长（15%）、高增长（20%）。</w:t>
      </w:r>
    </w:p>
    <w:p w14:paraId="1D11B009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采用指数增长模型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i(t)=Di(0)(1+r)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t对未来三年（2026-2028年）各区域日均充电需求进行推演。初始值Di(0)采用问题一中基于 XGBoost 双层模型预测的日均需求数据。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30875" cy="2117090"/>
            <wp:effectExtent l="0" t="0" r="9525" b="3810"/>
            <wp:docPr id="31" name="图片 31" descr="图1_多情景需求增长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图1_多情景需求增长曲线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/>
          <w:sz w:val="18"/>
        </w:rPr>
        <w:t>图</w:t>
      </w:r>
      <w:r>
        <w:rPr>
          <w:rFonts w:hint="eastAsia"/>
          <w:sz w:val="18"/>
          <w:lang w:val="en-US" w:eastAsia="zh-CN"/>
        </w:rPr>
        <w:t>17</w:t>
      </w:r>
      <w:r>
        <w:rPr>
          <w:rFonts w:hint="default"/>
          <w:sz w:val="18"/>
        </w:rPr>
        <w:t xml:space="preserve"> 多情景充电需求增长曲线：(a) 全市总量增长趋势；(b) 基准增长(15%)各区域2026 vs 2028对比</w:t>
      </w:r>
    </w:p>
    <w:p w14:paraId="4AC6CC92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17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(a)所示，在基准增长（15%）情景下，全市日均充电需求将从2026年的约136.6 MWh提升至2028年的 180.2 MWh（增幅约31.9%）。图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17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(b)展示了基准增长下各区域的扩容压力：宝塔山街道、桥沟街道和万花山镇的增长绝对值最大，城郊/工业区的增幅压力显著高于核心区。</w:t>
      </w:r>
    </w:p>
    <w:p w14:paraId="2F3627C9"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28"/>
        </w:rPr>
        <w:t>.3 考虑调度收益的有效容量模型</w:t>
      </w:r>
    </w:p>
    <w:p w14:paraId="7CA2053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为体现运行策略对供给侧的反哺价值，基于问题三的经济调度结果（综合削峰率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η=20%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=20%），引入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有效容量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的概念。</w:t>
      </w:r>
    </w:p>
    <w:p w14:paraId="5F4A7404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设原始服务容量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Ciraw=Ni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f⋅80+Ni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s⋅20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（单位：车次/日），则考虑调度收益后的有效容量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Ci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^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eff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​ 表示为：</w:t>
      </w:r>
    </w:p>
    <w:p w14:paraId="3A761FD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</w:pPr>
      <w:r>
        <w:drawing>
          <wp:inline distT="0" distB="0" distL="114300" distR="114300">
            <wp:extent cx="2428875" cy="942975"/>
            <wp:effectExtent l="0" t="0" r="9525" b="9525"/>
            <wp:docPr id="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4FA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其中，η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=0.20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=0.20 为经济调度综合削峰率，α=0.65α=0.65 为转换折扣因子（考虑用户行为改变的释放程度）。代入计算后，各区域有效容量获得约 14.94% 的一致提升（见图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）。</w:t>
      </w:r>
    </w:p>
    <w:p w14:paraId="7AF8B3EB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8335" cy="2317750"/>
            <wp:effectExtent l="0" t="0" r="12065" b="6350"/>
            <wp:docPr id="33" name="图片 33" descr="图3_调度有效容量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图3_调度有效容量对比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6820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/>
          <w:sz w:val="18"/>
        </w:rPr>
      </w:pPr>
      <w:r>
        <w:rPr>
          <w:rFonts w:hint="default"/>
          <w:sz w:val="18"/>
        </w:rPr>
        <w:t>图</w:t>
      </w:r>
      <w:r>
        <w:rPr>
          <w:rFonts w:hint="eastAsia"/>
          <w:sz w:val="18"/>
          <w:lang w:val="en-US" w:eastAsia="zh-CN"/>
        </w:rPr>
        <w:t>18</w:t>
      </w:r>
      <w:r>
        <w:rPr>
          <w:rFonts w:hint="default"/>
          <w:sz w:val="18"/>
        </w:rPr>
        <w:t xml:space="preserve"> 调度优化对有效容量的提升效果：(a) 调度前后各区域服务容量对比(2026年)；(b) 调度带来的各区域容量提升比例</w:t>
      </w:r>
    </w:p>
    <w:p w14:paraId="45B8F8C3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所示，调度后原始服务容量（灰色）有效转化为有效容量（蓝色），全市所有区域的容量提升比例均达到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14.94%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。这意味着在不增加任何硬件投资的前提下，通过需求侧管理，我们在规划模型中释放了近15%的额外空间，从而有效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延缓了扩容投资的到来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346B770">
      <w:pPr>
        <w:spacing w:line="360" w:lineRule="auto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bCs w:val="0"/>
          <w:sz w:val="28"/>
          <w:szCs w:val="28"/>
        </w:rPr>
        <w:t>.4 基于熵权法的充电网络健康度评价模型</w:t>
      </w:r>
    </w:p>
    <w:p w14:paraId="715CB80B">
      <w:pPr>
        <w:spacing w:line="360" w:lineRule="auto"/>
        <w:ind w:firstLine="48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为精准判断各区域在不同年份是否处于“亚健康”状态，本文建立四维健康度评价指标体系</w:t>
      </w:r>
      <w:r>
        <w:t>H_i=</w:t>
      </w:r>
      <w:r>
        <w:rPr>
          <w:rFonts w:ascii="KaTeX_Size1" w:hAnsi="KaTeX_Size1" w:eastAsia="KaTeX_Size1" w:cs="KaTeX_Size1"/>
          <w:caps w:val="0"/>
          <w:color w:val="0F1115"/>
          <w:spacing w:val="0"/>
          <w:sz w:val="25"/>
          <w:szCs w:val="25"/>
          <w:shd w:val="clear" w:fill="FFFFFF"/>
        </w:rPr>
        <w:t>∑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j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=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1</w:t>
      </w:r>
      <w:r>
        <w:rPr>
          <w:rFonts w:hint="eastAsia" w:ascii="Times New Roman" w:hAnsi="Times New Roman" w:cs="Times New Roman"/>
          <w:caps w:val="0"/>
          <w:color w:val="0F1115"/>
          <w:spacing w:val="0"/>
          <w:sz w:val="14"/>
          <w:szCs w:val="14"/>
          <w:shd w:val="clear" w:fill="FFFFFF"/>
          <w:lang w:val="en-US" w:eastAsia="zh-CN"/>
        </w:rPr>
        <w:t>^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4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w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j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⋅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S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ij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t>，其中H_i为区域i的充电网络健康度，S_ij为第j个评价指标值，w_j为对应熵权权重。</w:t>
      </w:r>
    </w:p>
    <w:p w14:paraId="43E462E4">
      <w:pPr>
        <w:spacing w:line="360" w:lineRule="auto"/>
        <w:ind w:firstLine="480"/>
      </w:pPr>
      <w:r>
        <w:t>（1）需求满足度指标S_1：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S1=min(Cieff/Ti,1)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194CB336">
      <w:pPr>
        <w:spacing w:line="360" w:lineRule="auto"/>
        <w:ind w:firstLine="480"/>
      </w:pPr>
      <w:r>
        <w:t>（2）空间覆盖指标S_2：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5"/>
          <w:szCs w:val="25"/>
          <w:shd w:val="clear" w:fill="FFFFFF"/>
        </w:rPr>
        <w:t>S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=COV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14"/>
          <w:szCs w:val="14"/>
          <w:shd w:val="clear" w:fill="FFFFFF"/>
        </w:rPr>
        <w:t>i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"/>
          <w:szCs w:val="1"/>
          <w:shd w:val="clear" w:fill="FFFFFF"/>
        </w:rPr>
        <w:t>​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515EC6B4">
      <w:pPr>
        <w:spacing w:line="360" w:lineRule="auto"/>
        <w:ind w:firstLine="480"/>
      </w:pPr>
      <w:r>
        <w:t>（3）电网安全指标S_3：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根据调度后峰值负荷是否超过2100kW及与附件4容量的裕度综合打分；</w:t>
      </w:r>
    </w:p>
    <w:p w14:paraId="59961B39">
      <w:pPr>
        <w:spacing w:line="360" w:lineRule="auto"/>
        <w:ind w:firstLine="480"/>
      </w:pPr>
      <w:r>
        <w:t>（4）经济性指标S_4：S_4=1−Cost_i/Cost_max</w:t>
      </w:r>
    </w:p>
    <w:p w14:paraId="0C4A3CA5">
      <w:pPr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采用熵权法依据数据变异程度客观赋权。基准增长情景下，电网安全度（0.35）和需求满足度（0.30）权重最高，与区域过载风险息息相关的特征被高亮。</w:t>
      </w:r>
    </w:p>
    <w:p w14:paraId="2315D902">
      <w:pPr>
        <w:jc w:val="left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3255" cy="1780540"/>
            <wp:effectExtent l="0" t="0" r="4445" b="10160"/>
            <wp:docPr id="34" name="图片 34" descr="图2_健康度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图2_健康度热力图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4E9C">
      <w:pPr>
        <w:jc w:val="center"/>
        <w:rPr>
          <w:sz w:val="18"/>
        </w:rPr>
      </w:pPr>
      <w:r>
        <w:rPr>
          <w:sz w:val="18"/>
        </w:rPr>
        <w:t>图</w:t>
      </w:r>
      <w:r>
        <w:rPr>
          <w:rFonts w:hint="eastAsia"/>
          <w:sz w:val="18"/>
          <w:lang w:val="en-US" w:eastAsia="zh-CN"/>
        </w:rPr>
        <w:t>19</w:t>
      </w:r>
      <w:r>
        <w:rPr>
          <w:sz w:val="18"/>
        </w:rPr>
        <w:t xml:space="preserve">  三种增长情景下充电网络健康度热力图（绿色=健康，红色=需关注）</w:t>
      </w:r>
    </w:p>
    <w:p w14:paraId="389AF5C4">
      <w:pPr>
        <w:jc w:val="left"/>
        <w:rPr>
          <w:rFonts w:hint="eastAsia" w:ascii="宋体" w:hAnsi="宋体" w:eastAsia="宋体" w:cs="宋体"/>
          <w:sz w:val="18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所示，随着时间推移，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姚店镇（经开区）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和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真武洞街道（安塞）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的健康度（R8、R10）在不同情景下均呈现黄绿色预警，尤其是低覆盖率与高负荷叠加的区域。基准增长情景下，通过动态扩容干预，2028年全市平均健康度维持在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0.8778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，优于低增长（0.8855）并高出高增长（0.8558）约2.2个百分点，充分验证了反馈机制的有效性。</w:t>
      </w:r>
    </w:p>
    <w:p w14:paraId="7D4EB558">
      <w:pPr>
        <w:spacing w:line="360" w:lineRule="auto"/>
        <w:rPr>
          <w:rFonts w:hint="eastAsia" w:ascii="黑体" w:hAnsi="黑体" w:eastAsia="黑体" w:cs="黑体"/>
          <w:b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28"/>
          <w:szCs w:val="28"/>
        </w:rPr>
        <w:t>.5 动态扩容决策模型</w:t>
      </w:r>
    </w:p>
    <w:p w14:paraId="45E6A98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状态评价 → 扩容决策 → 容量更新 → 重新评价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”的动态闭环机制。设服务压力 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ρi=Ti/Cieff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ρi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​=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Ti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​/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Ci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eff​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触发扩容的三个条件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（满足其一即可）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</w:p>
    <w:p w14:paraId="1D2AC83B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健康度危机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Hi&lt;0.72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531D737A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服务过饱和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ρi&gt;0.85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3CBC978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过载风险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：调度后峰值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Pi′&gt;2100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kW。</w:t>
      </w:r>
    </w:p>
    <w:p w14:paraId="1642CE1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为了在财政资源有限的前提下排定建设时序，构建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综合优先级评分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:</w:t>
      </w:r>
    </w:p>
    <w:p w14:paraId="61756E6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drawing>
          <wp:inline distT="0" distB="0" distL="114300" distR="114300">
            <wp:extent cx="5572125" cy="685800"/>
            <wp:effectExtent l="0" t="0" r="3175" b="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403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i为2026-2028年区域自身需求增速。</w:t>
      </w:r>
    </w:p>
    <w:p w14:paraId="67915397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28335" cy="3123565"/>
            <wp:effectExtent l="0" t="0" r="12065" b="635"/>
            <wp:docPr id="36" name="图片 36" descr="图4_扩容优先级排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图4_扩容优先级排序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CA2D">
      <w:pPr>
        <w:jc w:val="center"/>
      </w:pPr>
      <w:r>
        <w:rPr>
          <w:sz w:val="18"/>
        </w:rPr>
        <w:t>图</w:t>
      </w:r>
      <w:r>
        <w:rPr>
          <w:rFonts w:hint="eastAsia"/>
          <w:sz w:val="18"/>
          <w:lang w:val="en-US" w:eastAsia="zh-CN"/>
        </w:rPr>
        <w:t>20</w:t>
      </w:r>
      <w:r>
        <w:rPr>
          <w:sz w:val="18"/>
        </w:rPr>
        <w:t xml:space="preserve">  基准增长(15%)下各区域扩容优先级排序(2028年)</w:t>
      </w:r>
    </w:p>
    <w:p w14:paraId="4BC88688">
      <w:pPr>
        <w:spacing w:line="360" w:lineRule="auto"/>
        <w:ind w:firstLine="48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如图2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所示，基准增长下2028年扩容优先梯队为：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新城街道、姚店镇（经开区）、凤凰山街道、柳林镇、桥沟街道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新城街道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以最高优先级（0.281）位列榜首，主要驱动因素是其服务压力（</w:t>
      </w:r>
      <w:r>
        <w:rPr>
          <w:rFonts w:hint="eastAsia" w:ascii="宋体" w:hAnsi="宋体" w:eastAsia="宋体" w:cs="宋体"/>
          <w:caps w:val="0"/>
          <w:color w:val="0F1115"/>
          <w:spacing w:val="0"/>
          <w:sz w:val="24"/>
          <w:szCs w:val="24"/>
          <w:shd w:val="clear" w:fill="FFFFFF"/>
        </w:rPr>
        <w:t>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）大幅上升与原有的低覆盖率叠加；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姚店镇（经开区）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（排名第二）则主要受制于过载风险（调度后负荷逼近2100kW阈值线）。</w:t>
      </w:r>
    </w:p>
    <w:p w14:paraId="501D745F">
      <w:pPr>
        <w:spacing w:line="36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sz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28"/>
        </w:rPr>
        <w:t>.6 模型求解与结果分析</w:t>
      </w:r>
    </w:p>
    <w:p w14:paraId="1EFC49DC">
      <w:pPr>
        <w:spacing w:line="360" w:lineRule="auto"/>
        <w:ind w:firstLine="48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基于上述健康度评价与动态反馈机制，得到三种增长情景下的生命周期动态扩展方案。</w:t>
      </w:r>
    </w:p>
    <w:p w14:paraId="7A7621CC">
      <w:pPr>
        <w:spacing w:line="360" w:lineRule="auto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6.6.1 多情景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扩容规模与投资</w:t>
      </w:r>
    </w:p>
    <w:p w14:paraId="64731B2E">
      <w:pPr>
        <w:spacing w:line="360" w:lineRule="auto"/>
        <w:ind w:firstLine="48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具体的逐年触发区域及累计投资如图2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所示：</w:t>
      </w:r>
    </w:p>
    <w:p w14:paraId="556D498A">
      <w:pPr>
        <w:spacing w:line="360" w:lineRule="auto"/>
        <w:ind w:firstLine="48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5727065" cy="2289175"/>
            <wp:effectExtent l="0" t="0" r="635" b="9525"/>
            <wp:docPr id="37" name="图片 37" descr="图5_三年动态扩容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图5_三年动态扩容方案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693B">
      <w:pPr>
        <w:jc w:val="center"/>
        <w:rPr>
          <w:sz w:val="18"/>
        </w:rPr>
      </w:pPr>
      <w:r>
        <w:rPr>
          <w:sz w:val="18"/>
        </w:rPr>
        <w:t>图2</w:t>
      </w:r>
      <w:r>
        <w:rPr>
          <w:rFonts w:hint="eastAsia"/>
          <w:sz w:val="18"/>
          <w:lang w:val="en-US" w:eastAsia="zh-CN"/>
        </w:rPr>
        <w:t>1</w:t>
      </w:r>
      <w:r>
        <w:rPr>
          <w:sz w:val="18"/>
        </w:rPr>
        <w:t xml:space="preserve"> 三年动态扩容方案：(a) 各情景累计扩容投资；(b) 基准增长扩容构成(快充+慢充)</w:t>
      </w:r>
    </w:p>
    <w:p w14:paraId="0891D72B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实际运行结果（见图</w:t>
      </w: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21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(a)与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情景对比汇总.xlsx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）：</w:t>
      </w:r>
    </w:p>
    <w:p w14:paraId="799F925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低增长（10%）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：三年内触发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扩容，累计投资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24万元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1CEC5D6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基准增长（15%）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：三年内触发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扩容，累计投资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28万元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</w:p>
    <w:p w14:paraId="3A519668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高增长（20%）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：三年内触发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扩容，累计投资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36万元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6BB8989B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图2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(b)（基准增长扩容构成）显示，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所有场景下的扩容均以慢充为主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（主要集中在姚店镇、万花山镇、真武洞街道等区域的填补覆盖），慢充桩占 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100%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。这主要因为有效容量模型已经将调度收益转化为削峰能力，缓解了短时过载压力，而空间覆盖率的提升仍是三年规划中需要持续追加的首要任务。</w:t>
      </w:r>
    </w:p>
    <w:p w14:paraId="32000577">
      <w:pPr>
        <w:spacing w:line="360" w:lineRule="auto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6.6.2 投资预警与应急扩充</w:t>
      </w:r>
      <w:bookmarkStart w:id="0" w:name="_GoBack"/>
      <w:bookmarkEnd w:id="0"/>
    </w:p>
    <w:p w14:paraId="789764D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对比数据发现，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高增长情景虽然平均健康度略低于基准（0.8558 vs 0.8778），但其过载区域数在2028年将达到 4个（低增长为1个，基准为2个）。若实际增速逼近20%，则需要在2027-2028年间将投资预算上调至 36万元，并追加极少数快充桩以降低潜在过载。模型通过多情景动态推演，精准量化了这一应急成本，为地方政府提供了明确的财政心理预期。</w:t>
      </w:r>
    </w:p>
    <w:p w14:paraId="49BC64CD">
      <w:pPr>
        <w:spacing w:line="360" w:lineRule="auto"/>
        <w:rPr>
          <w:rFonts w:hint="eastAsia" w:ascii="黑体" w:hAnsi="黑体" w:eastAsia="黑体" w:cs="黑体"/>
          <w:b/>
          <w:bCs w:val="0"/>
          <w:sz w:val="28"/>
        </w:rPr>
      </w:pPr>
      <w:r>
        <w:rPr>
          <w:rFonts w:hint="eastAsia" w:ascii="黑体" w:hAnsi="黑体" w:eastAsia="黑体" w:cs="黑体"/>
          <w:b/>
          <w:bCs w:val="0"/>
          <w:sz w:val="28"/>
          <w:lang w:val="en-US" w:eastAsia="zh-CN"/>
        </w:rPr>
        <w:t>6</w:t>
      </w:r>
      <w:r>
        <w:rPr>
          <w:rFonts w:hint="eastAsia" w:ascii="黑体" w:hAnsi="黑体" w:eastAsia="黑体" w:cs="黑体"/>
          <w:b/>
          <w:bCs w:val="0"/>
          <w:sz w:val="28"/>
        </w:rPr>
        <w:t>.7 本问题创新性分析</w:t>
      </w:r>
    </w:p>
    <w:p w14:paraId="530AC0BA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本文提出的生命周期动态扩展模型，核心贡献在于打通了“规划—运行—扩展”的信息孤岛：</w:t>
      </w:r>
    </w:p>
    <w:p w14:paraId="3776F7F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运行反哺规划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：将Q3的经济调度结果（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η=20%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=20%）转换为Q4的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有效容量增益（14.94%）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，打破了“调度仅仅是操作策略”的固化思维，为延缓扩容提供了直接理论依据。</w:t>
      </w:r>
    </w:p>
    <w:p w14:paraId="653B7C3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智能决策闭环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：摒弃了传统的“拍脑袋式”固定周期扩容，通过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四维健康度熵权评价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三条件动态触发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，实现了被动扩建向主动预警的转变。</w:t>
      </w:r>
    </w:p>
    <w:p w14:paraId="3DC86F31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 w:val="0"/>
          <w:sz w:val="28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成本量化精准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：提供了低（24万）、中（28万）、高（36万）三类发展路径的对应投资成本。对财政预算不充裕的城郊区域，模型建议优先采取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小步快跑（慢充为主，年投入约4万元）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的渐进策略，而非一次性巨额投入，显著提升了资金使用效率。</w:t>
      </w:r>
    </w:p>
    <w:p w14:paraId="0BFB44E0">
      <w:pPr>
        <w:spacing w:before="360" w:after="240" w:line="360" w:lineRule="auto"/>
        <w:rPr>
          <w:sz w:val="32"/>
          <w:szCs w:val="32"/>
        </w:rPr>
      </w:pPr>
      <w:r>
        <w:rPr>
          <w:rFonts w:ascii="黑体" w:hAnsi="黑体" w:eastAsia="黑体"/>
          <w:b/>
          <w:sz w:val="32"/>
          <w:szCs w:val="32"/>
        </w:rPr>
        <w:t>七、灵敏度分析</w:t>
      </w:r>
    </w:p>
    <w:p w14:paraId="6E3A7797">
      <w:pPr>
        <w:spacing w:before="360" w:after="240" w:line="360" w:lineRule="auto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7.1 Q1 XGBoost超参数灵敏度</w:t>
      </w:r>
    </w:p>
    <w:p w14:paraId="184D495D">
      <w:pPr>
        <w:spacing w:before="360" w:after="240" w:line="360" w:lineRule="auto"/>
      </w:pPr>
      <w:r>
        <w:rPr>
          <w:sz w:val="22"/>
        </w:rPr>
        <w:t>对残差拟合层的n_estimators（50~300）、max_depth（3~8）、learning_rate（0.01~0.10）三参数进行5×5×4=100组网格搜索。最优组合为n_est=300、depth=8、lr=0.10，对应残差MAE=50.4kW。各参数单独变化时MAE波动均不超过5kW，超参数选择对预测精度影响有限，当前参数（150/4/0.05）已接近最优区间。</w:t>
      </w:r>
    </w:p>
    <w:p w14:paraId="2C474202">
      <w:pPr>
        <w:spacing w:before="360" w:after="240" w:line="360" w:lineRule="auto"/>
      </w:pPr>
      <w:r>
        <w:rPr>
          <w:sz w:val="22"/>
        </w:rPr>
        <w:drawing>
          <wp:inline distT="0" distB="0" distL="114300" distR="114300">
            <wp:extent cx="5723255" cy="1950085"/>
            <wp:effectExtent l="0" t="0" r="4445" b="5715"/>
            <wp:docPr id="2" name="图片 2" descr="图_Q1超参数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_Q1超参数灵敏度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B8DF">
      <w:pPr>
        <w:spacing w:before="360" w:after="240" w:line="360" w:lineRule="auto"/>
        <w:rPr>
          <w:rFonts w:hint="eastAsia" w:ascii="黑体" w:hAnsi="黑体" w:eastAsia="黑体" w:cs="黑体"/>
          <w:b/>
          <w:bCs w:val="0"/>
          <w:sz w:val="28"/>
          <w:szCs w:val="28"/>
        </w:rPr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7.2 Q2 四目标权重灵敏度</w:t>
      </w:r>
    </w:p>
    <w:p w14:paraId="4B74FF9D">
      <w:pPr>
        <w:spacing w:before="360" w:after="240" w:line="360" w:lineRule="auto"/>
      </w:pPr>
      <w:r>
        <w:rPr>
          <w:sz w:val="22"/>
        </w:rPr>
        <w:t>在w∈[0.05,0.90]空间以0.05步长遍历969组四目标权重组合，</w:t>
      </w:r>
      <w:r>
        <w:rPr>
          <w:rFonts w:hint="eastAsia"/>
          <w:sz w:val="22"/>
          <w:lang w:val="en-US" w:eastAsia="zh-CN"/>
        </w:rPr>
        <w:t>我们</w:t>
      </w:r>
      <w:r>
        <w:rPr>
          <w:sz w:val="22"/>
        </w:rPr>
        <w:t>重新计算TOPSIS贴近度。电网风险维全零（range≈0），熵权法自动赋予约90%权重，实质仅三维参与区分。100个Pareto解中有29个被选中，前五个方案合计占比46.7%，方案选择对权重波动中等稳健。成本权重w1&gt;0.30后，最优方案稳定在中等成本区间。</w:t>
      </w:r>
    </w:p>
    <w:p w14:paraId="52EF2317">
      <w:pPr>
        <w:spacing w:before="360" w:after="240" w:line="360" w:lineRule="auto"/>
        <w:rPr>
          <w:rFonts w:hint="eastAsia" w:eastAsia="宋体"/>
          <w:sz w:val="22"/>
          <w:lang w:eastAsia="zh-CN"/>
        </w:rPr>
      </w:pPr>
      <w:r>
        <w:rPr>
          <w:sz w:val="22"/>
        </w:rPr>
        <w:drawing>
          <wp:inline distT="0" distB="0" distL="114300" distR="114300">
            <wp:extent cx="1898650" cy="2052955"/>
            <wp:effectExtent l="0" t="0" r="6350" b="4445"/>
            <wp:docPr id="3" name="图片 3" descr="图_方案选择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_方案选择分布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2491105" cy="2070100"/>
            <wp:effectExtent l="0" t="0" r="10795" b="0"/>
            <wp:docPr id="6" name="图片 6" descr="图_权重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_权重热力图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110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5E7D">
      <w:pPr>
        <w:spacing w:before="360" w:after="240" w:line="360" w:lineRule="auto"/>
      </w:pPr>
      <w:r>
        <w:rPr>
          <w:rFonts w:hint="eastAsia" w:ascii="黑体" w:hAnsi="黑体" w:eastAsia="黑体" w:cs="黑体"/>
          <w:b/>
          <w:sz w:val="28"/>
          <w:szCs w:val="28"/>
        </w:rPr>
        <w:t>7.3 Q2 约束参数灵敏度</w:t>
      </w:r>
    </w:p>
    <w:p w14:paraId="479B906E">
      <w:pPr>
        <w:spacing w:before="360" w:after="240" w:line="360" w:lineRule="auto"/>
        <w:rPr>
          <w:sz w:val="22"/>
        </w:rPr>
      </w:pPr>
      <w:r>
        <w:rPr>
          <w:sz w:val="22"/>
        </w:rPr>
        <w:t>覆盖率下限从80%升至100%：97%以内可行解数缓降，&gt;99%后骤减（100→19），99%为覆盖率的成本临界点。快充/慢充成本比从3.75增至15.0时，最优方案中快充占比由34.8%降至3.8%，但覆盖率始终&gt;95%。快充的高功率过载分流价值在成本比分析中无法由慢充替代——该结论为Q4扩容中保留快充选项提供了依据。</w:t>
      </w:r>
    </w:p>
    <w:p w14:paraId="687FDAD4">
      <w:pPr>
        <w:spacing w:before="360" w:after="240" w:line="360" w:lineRule="auto"/>
        <w:rPr>
          <w:rFonts w:hint="eastAsia" w:eastAsia="宋体"/>
          <w:sz w:val="22"/>
          <w:lang w:eastAsia="zh-CN"/>
        </w:rPr>
      </w:pP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2765425" cy="1817370"/>
            <wp:effectExtent l="0" t="0" r="3175" b="11430"/>
            <wp:docPr id="8" name="图片 8" descr="图_覆盖率下限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_覆盖率下限灵敏度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2"/>
          <w:lang w:eastAsia="zh-CN"/>
        </w:rPr>
        <w:drawing>
          <wp:inline distT="0" distB="0" distL="114300" distR="114300">
            <wp:extent cx="2238375" cy="1717675"/>
            <wp:effectExtent l="0" t="0" r="9525" b="9525"/>
            <wp:docPr id="9" name="图片 9" descr="图_成本比灵敏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_成本比灵敏度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F11C">
      <w:pPr>
        <w:spacing w:before="360" w:after="240" w:line="360" w:lineRule="auto"/>
      </w:pPr>
      <w:r>
        <w:rPr>
          <w:rFonts w:hint="eastAsia" w:ascii="黑体" w:hAnsi="黑体" w:eastAsia="黑体" w:cs="黑体"/>
          <w:b/>
          <w:bCs w:val="0"/>
          <w:sz w:val="28"/>
          <w:szCs w:val="28"/>
        </w:rPr>
        <w:t>7.4 Q3 负荷转移率η灵敏度</w:t>
      </w:r>
    </w:p>
    <w:p w14:paraId="496E8B28">
      <w:pPr>
        <w:spacing w:before="360" w:after="240" w:line="360" w:lineRule="auto"/>
        <w:rPr>
          <w:rFonts w:hint="eastAsia" w:eastAsia="宋体"/>
          <w:lang w:eastAsia="zh-CN"/>
        </w:rPr>
      </w:pPr>
      <w:r>
        <w:rPr>
          <w:sz w:val="22"/>
        </w:rPr>
        <w:t>η从10%升至35%：工作日峰谷差降低率近似线性增长（21.1%→46.4%，斜率1.01%/η%），周末全市汇总对η不敏感（恒定11.9%）——原因是周末负荷峰值位于平段时段（14:00），峰谷锚点均不在分时电价区间。但各区域响应存在显著异质性：峰值落在高峰时段的区域（姚店镇、李渠镇等）η=30%时降低率可达25%；峰值在平段的区域（河庄坪镇、宝塔山街道等）完全不响应。此差异表明全市统一峰谷时段划分存在结构性局限，差异化区域电价策略可能更有效。</w:t>
      </w:r>
    </w:p>
    <w:p w14:paraId="3E4CE31C">
      <w:pPr>
        <w:spacing w:before="360" w:after="240" w:line="360" w:lineRule="auto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091815" cy="2026285"/>
            <wp:effectExtent l="0" t="0" r="6985" b="5715"/>
            <wp:docPr id="10" name="图片 10" descr="图_η削峰效果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_η削峰效果曲线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9181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90A9D">
      <w:pPr>
        <w:spacing w:before="360" w:after="240"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7.5 Q4 r-α联合灵敏度</w:t>
      </w:r>
    </w:p>
    <w:p w14:paraId="03DBBD98">
      <w:pPr>
        <w:spacing w:before="360" w:after="240" w:line="360" w:lineRule="auto"/>
        <w:rPr>
          <w:rFonts w:hint="eastAsia" w:eastAsia="宋体"/>
          <w:lang w:eastAsia="zh-CN"/>
        </w:rPr>
      </w:pPr>
      <w:r>
        <w:rPr>
          <w:sz w:val="22"/>
        </w:rPr>
        <w:t>构建r∈[5%,30%]×α∈[0.50,0.80]参数网格，模拟三年动态扩容。r是健康度退化的主导因素：r从5%升至30%，2028年平均健康度从0.97降至0.75。α每增加0.10，健康度提升0.01~0.02，等效于约1~2个百分点的增长率缓冲。扩容边界：r≤10%时无需扩容（健康度&gt;0.90）；r=15%基准下扩容成本约28万元；r≥20%后成本显著上升。α的边际效益随r增大递减，低增长期调度优化延缓扩容的效果更为明显。</w:t>
      </w:r>
      <w:r>
        <w:rPr>
          <w:sz w:val="22"/>
        </w:rPr>
        <w:drawing>
          <wp:inline distT="0" distB="0" distL="114300" distR="114300">
            <wp:extent cx="2593340" cy="1701165"/>
            <wp:effectExtent l="0" t="0" r="10160" b="635"/>
            <wp:docPr id="11" name="图片 11" descr="图_健康度退化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_健康度退化曲线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211070" cy="1692910"/>
            <wp:effectExtent l="0" t="0" r="11430" b="8890"/>
            <wp:docPr id="12" name="图片 12" descr="图_r_α扩容边界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_r_α扩容边界热力图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1107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16F9">
      <w:pPr>
        <w:spacing w:before="360" w:after="240" w:line="360" w:lineRule="auto"/>
      </w:pPr>
      <w:r>
        <w:rPr>
          <w:rFonts w:hint="eastAsia" w:ascii="黑体" w:hAnsi="黑体" w:eastAsia="黑体" w:cs="黑体"/>
          <w:b/>
          <w:sz w:val="28"/>
          <w:szCs w:val="28"/>
        </w:rPr>
        <w:t>7.6 综合评估</w:t>
      </w:r>
    </w:p>
    <w:p w14:paraId="473DA2E0">
      <w:pPr>
        <w:spacing w:before="360" w:after="240" w:line="360" w:lineRule="auto"/>
        <w:rPr>
          <w:sz w:val="22"/>
        </w:rPr>
      </w:pPr>
      <w:r>
        <w:rPr>
          <w:rFonts w:hint="eastAsia"/>
          <w:sz w:val="22"/>
          <w:lang w:val="en-US" w:eastAsia="zh-CN"/>
        </w:rPr>
        <w:t>每个题所用</w:t>
      </w:r>
      <w:r>
        <w:rPr>
          <w:sz w:val="22"/>
        </w:rPr>
        <w:t>各参数敏感性汇总如下。Q1超参数整体低敏，模型预测性能稳定。Q2目标权重中敏，TOPSIS对权重不敏感但第四目标维失效。Q3转移率工作日中敏/周末低敏，周末全市统一电价存在结构性局限。Q4增长率高敏，</w:t>
      </w:r>
      <w:r>
        <w:rPr>
          <w:rFonts w:hint="eastAsia"/>
          <w:sz w:val="22"/>
          <w:lang w:val="en-US" w:eastAsia="zh-CN"/>
        </w:rPr>
        <w:t>它是</w:t>
      </w:r>
      <w:r>
        <w:rPr>
          <w:sz w:val="22"/>
        </w:rPr>
        <w:t>是扩容决策的主要驱动力；调度系数α中敏，在低增长情景下可作为延缓扩容的辅助手段。综合来看，模型在关键参数合理范围内表现稳健，各敏感参数的识别为实际决策提供了明确的关注优先级。</w:t>
      </w:r>
    </w:p>
    <w:p w14:paraId="2ED6D5CD">
      <w:pPr>
        <w:spacing w:before="360" w:after="240" w:line="360" w:lineRule="auto"/>
        <w:rPr>
          <w:sz w:val="22"/>
        </w:rPr>
      </w:pPr>
      <w:r>
        <w:rPr>
          <w:sz w:val="22"/>
        </w:rPr>
        <w:drawing>
          <wp:inline distT="0" distB="0" distL="114300" distR="114300">
            <wp:extent cx="5721350" cy="1680845"/>
            <wp:effectExtent l="0" t="0" r="6350" b="8255"/>
            <wp:docPr id="13" name="图片 13" descr="表7-1_综合灵敏度评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表7-1_综合灵敏度评估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227D">
      <w:pPr>
        <w:spacing w:before="360" w:after="240" w:line="360" w:lineRule="auto"/>
      </w:pPr>
      <w:r>
        <w:rPr>
          <w:sz w:val="22"/>
        </w:rPr>
        <w:t>【表7-1 综合灵敏度评估表，见results/sensitivity/表_综合灵敏度评估.xlsx】</w:t>
      </w:r>
    </w:p>
    <w:p w14:paraId="7C751B46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八、模型评价与推广</w:t>
      </w:r>
    </w:p>
    <w:p w14:paraId="7CC71887">
      <w:pPr>
        <w:spacing w:before="240" w:after="120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ascii="黑体" w:hAnsi="黑体" w:eastAsia="黑体"/>
          <w:b/>
          <w:sz w:val="28"/>
        </w:rPr>
        <w:t>8.1 模型优点</w:t>
      </w:r>
    </w:p>
    <w:p w14:paraId="228BCD2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解决纯黑箱问题的双层预测架构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：针对传统机器学习“只关心数字拟合、不关心物理规律”的缺陷，本文创新性采用“LOO留一法物理基准 + XGBoost残差修正”的双层机制，有效避免了直接预测导致凌晨出现虚假高负荷的错误，保证了预测结果符合真实用电逻辑。</w:t>
      </w:r>
    </w:p>
    <w:p w14:paraId="3E156FA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客观决策的多目标优化与熵权法结合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 Q2 中，NSGA-II 生成了涵盖不同偏好的 Pareto 前沿，而熵权-TOPSIS 基于数据本身的变异程度客观赋权（而非人工设定权重），成功从 100 个候选解中筛选出覆盖率高达 99.3%、成本 199.6 万元的全局最优方案，避免了主观评价带来的偏见。</w:t>
      </w:r>
    </w:p>
    <w:p w14:paraId="48B0841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创新性的跨问题闭环协同（规划反哺运行）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：本模型的最大亮点在于打通了 Q2（静态规划）与 Q3（动态调度）、Q4（长期扩展）的壁垒。通过引入“有效容量”修正，将 Q3 经济调度带来的 14.94% 削峰增益转化为 Q4 扩容规划的缓冲区，实现了“运行策略为规划省钱”的跨问题创新。</w:t>
      </w:r>
    </w:p>
    <w:p w14:paraId="5657983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工具链完整且高度自动化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：从数据清洗、特征工程、XGBoost 训练、NSGA-II 寻优，到 DP 动态规划，构建了完整的可复现算法链路，并设计了自动化脚本（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run_all.py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），保证了模型结果的可重复性和工程落地价值。</w:t>
      </w:r>
    </w:p>
    <w:p w14:paraId="3D774276">
      <w:pPr>
        <w:spacing w:before="240" w:after="120" w:line="360" w:lineRule="auto"/>
        <w:rPr>
          <w:rFonts w:hint="eastAsia" w:ascii="宋体" w:hAnsi="宋体" w:eastAsia="宋体" w:cs="宋体"/>
        </w:rPr>
      </w:pPr>
      <w:r>
        <w:rPr>
          <w:rFonts w:ascii="黑体" w:hAnsi="黑体" w:eastAsia="黑体"/>
          <w:b/>
          <w:sz w:val="28"/>
        </w:rPr>
        <w:t>8.2 模型不足与改进方向</w:t>
      </w:r>
    </w:p>
    <w:p w14:paraId="4B03C94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空间均匀分布假设过于理想化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：模型基于面积平均法计算服务覆盖率，忽略了区域内交通枢纽、大型商超等微观热点的集聚效应。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改进方向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：后续可引入 GIS 空间分析，结合真实路网、停车位分布进行精细化部署，将“覆盖面积”优化升级为“覆盖热点用户”。</w:t>
      </w:r>
    </w:p>
    <w:p w14:paraId="61659E8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价格弹性的静态化处理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：Q3 中强制假设了 20% 的刚性转移率。实际中，不同电价敏感度的用户群（营运车辆 vs 私家车）响应曲线差异巨大。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改进方向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：可进一步引入价格需求弹性矩阵，结合用户的充电偏好，进行更为动态的实时电价模拟。</w:t>
      </w:r>
    </w:p>
    <w:p w14:paraId="5BB63610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技术迭代对规划参数的影响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：三年规划中假设单台快充桩功率恒定为 120kW，服务能力恒定为 80车次/日。随着电动车电池容量增大（如 100kWh 以上）和超充技术普及（如 480kW 液冷超充），这些基础参数将发生剧烈变化，直接影响建设数量。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改进方向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：在未来规划中，可引入“充电桩技术衰退与升级系数”，分年度动态调整单桩服务上限。</w:t>
      </w:r>
    </w:p>
    <w:p w14:paraId="295E2452"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8.3 模型推广</w:t>
      </w:r>
    </w:p>
    <w:p w14:paraId="2995DE56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本文建立的“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多因素非线性需求预测 → 多目标空间优化配置 → 分时电价经济调度 → 生命周期健康度动态扩展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”全链条算法框架，具有很强的通用性和可移植性：</w:t>
      </w:r>
    </w:p>
    <w:p w14:paraId="65F21ED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推广至其他新能源场景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：该框架可直接适配至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城市换电站选址规划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加氢站空间布局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以及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分布式光伏与储能联合并网规划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568F96BC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推广至不同级别的城市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：对于三四线城市或县级市，只需调整区域基础属性和电网容量数据，无需改动核心算法结构，即可快速生成适配本地的充电基础设施规划报告，为政府科学决策提供数据支撑。</w:t>
      </w:r>
    </w:p>
    <w:p w14:paraId="48086256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参考文献</w:t>
      </w:r>
    </w:p>
    <w:p w14:paraId="4943452F">
      <w:pPr>
        <w:spacing w:line="360" w:lineRule="auto"/>
        <w:ind w:firstLine="480"/>
      </w:pPr>
      <w:r>
        <w:rPr>
          <w:rFonts w:ascii="宋体" w:hAnsi="宋体" w:eastAsia="宋体"/>
          <w:b w:val="0"/>
          <w:i/>
          <w:color w:val="888888"/>
          <w:sz w:val="24"/>
        </w:rPr>
        <w:t>[待核实：后续根据实际论文引用补充。所有引用必须可核实来源，标注真实URL或DOI。不可编造文献。可能涉及的文献方向：充电需求预测方法、多目标优化在充电站规划中的应用、分时电价政策效果评估、电动汽车充电负荷建模等。]</w:t>
      </w:r>
    </w:p>
    <w:p w14:paraId="2AA16F78">
      <w:pPr>
        <w:spacing w:before="360" w:after="240" w:line="360" w:lineRule="auto"/>
      </w:pPr>
      <w:r>
        <w:rPr>
          <w:rFonts w:ascii="黑体" w:hAnsi="黑体" w:eastAsia="黑体"/>
          <w:b/>
          <w:sz w:val="32"/>
        </w:rPr>
        <w:t>附录</w:t>
      </w:r>
    </w:p>
    <w:p w14:paraId="17FDBAE0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附录A：支撑材料文件清单与运行说明</w:t>
      </w:r>
    </w:p>
    <w:p w14:paraId="30692885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核心数据文件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（均位于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data/processed/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或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results/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目录）：</w:t>
      </w:r>
    </w:p>
    <w:p w14:paraId="53C6659E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clean_data.xlsx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（10个区域×24h×2种日期类型的 480 条清洗与标准化样本）</w:t>
      </w:r>
    </w:p>
    <w:p w14:paraId="77BDC9E7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prediction_result.xlsx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（问题一预测结果，含各区域日均及分时预测值）</w:t>
      </w:r>
    </w:p>
    <w:p w14:paraId="14EA402F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problem4_final_result.xlsx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（问题四综合输出，含 6 个 Sheet：未来需求、有效容量、健康度、扩容优先级、扩容方案、情景汇总）</w:t>
      </w:r>
    </w:p>
    <w:p w14:paraId="7617A8BF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主要源程序代码及执行逻辑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1BF8CB19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全流程一键运行脚本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run_all.py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（按顺序执行：数据检查 → Q1预测 → Q2优化 → Q3调度 → Q4扩展 → 消融/鲁棒/敏感性分析）</w:t>
      </w:r>
    </w:p>
    <w:p w14:paraId="5C967E8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问题一（预测核心）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src/problem1/model/two_layer_model.py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（包含 Layer1 留一法物理基准与 Layer2 XGBoost 残差修正）</w:t>
      </w:r>
    </w:p>
    <w:p w14:paraId="2596E0C6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问题二（寻优核心）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src/problem2/problem2_optimize.py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（基于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pymoo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库的 NSGA-II 多目标整数规划求解）</w:t>
      </w:r>
    </w:p>
    <w:p w14:paraId="2697D0F3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问题三（调度核心）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src/problem3/problem3_solve.py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（经济调度与“填谷优先” Water-filling 算法）</w:t>
      </w:r>
    </w:p>
    <w:p w14:paraId="7B2B5D45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问题四（扩展核心）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src/problem4/problem4_main.py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（熵权法健康度评价与动态扩容迭代算法）</w:t>
      </w:r>
    </w:p>
    <w:p w14:paraId="7410EF46">
      <w:pPr>
        <w:pStyle w:val="3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运行环境要求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：Python 3.9+，需安装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pandas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numpy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xgboost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scikit-learn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matplotlib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pymoo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openpyxl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等依赖库。</w:t>
      </w:r>
    </w:p>
    <w:p w14:paraId="1905E42C">
      <w:pPr>
        <w:pStyle w:val="5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附录B：主要中间结果与补充图表</w:t>
      </w:r>
    </w:p>
    <w:p w14:paraId="33E64C34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数据可视化图集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：所有正文中引用的图表（图1至图24）以及补充分析图表均存于目录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results/figures/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中，包括但不限于：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R2=0.9346</w:t>
      </w:r>
      <w:r>
        <w:rPr>
          <w:rFonts w:hint="eastAsia" w:ascii="宋体" w:hAnsi="宋体" w:eastAsia="宋体" w:cs="宋体"/>
          <w:i/>
          <w:iCs/>
          <w:caps w:val="0"/>
          <w:color w:val="0F1115"/>
          <w:spacing w:val="0"/>
          <w:sz w:val="24"/>
          <w:szCs w:val="24"/>
          <w:shd w:val="clear" w:fill="FFFFFF"/>
        </w:rPr>
        <w:t>R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2=0.9346 的 XGBoost 拟合散点图、NSGA-II 3维 Pareto 前沿图、各区域调度后分面负荷曲线图（20个子图）、三种情景下的健康度热力图等。</w:t>
      </w:r>
    </w:p>
    <w:p w14:paraId="6686653D">
      <w:pPr>
        <w:pStyle w:val="30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中间计算表格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results/tables/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目录下包含了详细的模型运行中间表，如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xgboost_metrics.xlsx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（残差指标）、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Pareto前沿解集.xlsx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（100个非支配解详情）、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表_调度前分析.xlsx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（调度前各区域峰谷差统计）以及 </w:t>
      </w:r>
      <w:r>
        <w:rPr>
          <w:rStyle w:val="136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鲁棒性验证.xlsx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。所有结果数据均可溯源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sectPr>
      <w:footerReference r:id="rId6" w:type="default"/>
      <w:pgSz w:w="11906" w:h="16838"/>
      <w:pgMar w:top="1440" w:right="1440" w:bottom="1440" w:left="1440" w:header="720" w:footer="720" w:gutter="0"/>
      <w:pgNumType w:start="2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altName w:val="Segoe UI Semilight"/>
    <w:panose1 w:val="02000400000000000000"/>
    <w:charset w:val="00"/>
    <w:family w:val="auto"/>
    <w:pitch w:val="default"/>
    <w:sig w:usb0="00000000" w:usb1="00000000" w:usb2="00000000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Size1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0C1D6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65F27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C2629"/>
    <w:rsid w:val="0725721C"/>
    <w:rsid w:val="07B459CB"/>
    <w:rsid w:val="0A0F644E"/>
    <w:rsid w:val="12DC417E"/>
    <w:rsid w:val="17BF21C9"/>
    <w:rsid w:val="18455A2E"/>
    <w:rsid w:val="1AC4304C"/>
    <w:rsid w:val="1AFC1D1D"/>
    <w:rsid w:val="1CC16B7A"/>
    <w:rsid w:val="1D6738CC"/>
    <w:rsid w:val="1E252991"/>
    <w:rsid w:val="1E890250"/>
    <w:rsid w:val="1EA40D15"/>
    <w:rsid w:val="2530083E"/>
    <w:rsid w:val="25BA7F59"/>
    <w:rsid w:val="279C1484"/>
    <w:rsid w:val="3C8523D6"/>
    <w:rsid w:val="4283335C"/>
    <w:rsid w:val="491856F9"/>
    <w:rsid w:val="497D0F49"/>
    <w:rsid w:val="4ECB3DD1"/>
    <w:rsid w:val="5257715F"/>
    <w:rsid w:val="589727AD"/>
    <w:rsid w:val="6136366B"/>
    <w:rsid w:val="637A3990"/>
    <w:rsid w:val="68E50D8F"/>
    <w:rsid w:val="69F133A3"/>
    <w:rsid w:val="6C386508"/>
    <w:rsid w:val="73137BAE"/>
    <w:rsid w:val="74C95629"/>
    <w:rsid w:val="76DF59EE"/>
    <w:rsid w:val="77AD0894"/>
    <w:rsid w:val="781F16E4"/>
    <w:rsid w:val="7A5443BD"/>
    <w:rsid w:val="7AB61A25"/>
    <w:rsid w:val="7C1C45B9"/>
    <w:rsid w:val="7D4233DF"/>
    <w:rsid w:val="7DC557AC"/>
    <w:rsid w:val="7E78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First Paragraph"/>
    <w:basedOn w:val="19"/>
    <w:next w:val="19"/>
    <w:qFormat/>
    <w:uiPriority w:val="0"/>
  </w:style>
  <w:style w:type="paragraph" w:customStyle="1" w:styleId="167">
    <w:name w:val="Compact"/>
    <w:basedOn w:val="19"/>
    <w:qFormat/>
    <w:uiPriority w:val="0"/>
    <w:pPr>
      <w:spacing w:before="36" w:after="36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2968</Words>
  <Characters>3488</Characters>
  <Lines>0</Lines>
  <Paragraphs>0</Paragraphs>
  <TotalTime>29</TotalTime>
  <ScaleCrop>false</ScaleCrop>
  <LinksUpToDate>false</LinksUpToDate>
  <CharactersWithSpaces>3571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19045</dc:creator>
  <cp:lastModifiedBy>杨思渊</cp:lastModifiedBy>
  <dcterms:modified xsi:type="dcterms:W3CDTF">2026-08-07T09:31:27Z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eyJoZGlkIjoiNGE3ZDBhNmNkOGZkNTIzYWZmMjJmNjViYTZiZDgzZTAiLCJ1c2VySWQiOiIxMzU1NTk4ODUwIn0=</vt:lpwstr>
  </property>
  <property fmtid="{D5CDD505-2E9C-101B-9397-08002B2CF9AE}" pid="3" name="KSOProductBuildVer">
    <vt:lpwstr>2052-12.1.0.28043</vt:lpwstr>
  </property>
  <property fmtid="{D5CDD505-2E9C-101B-9397-08002B2CF9AE}" pid="4" name="ICV">
    <vt:lpwstr>BB08279D52A84528B499ECB8AF6652C5_13</vt:lpwstr>
  </property>
</Properties>
</file>