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客户分析报告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珠海翔远电路科技有限公司</w:t>
      </w:r>
    </w:p>
    <w:p/>
    <w:p>
      <w:r>
        <w:rPr>
          <w:rFonts w:ascii="黑体" w:hAnsi="黑体" w:eastAsia="黑体"/>
          <w:b/>
          <w:sz w:val="28"/>
        </w:rPr>
        <w:t>一、个人情况</w:t>
      </w:r>
    </w:p>
    <w:p>
      <w:r>
        <w:rPr>
          <w:rFonts w:ascii="宋体" w:hAnsi="宋体" w:eastAsia="宋体"/>
          <w:sz w:val="21"/>
        </w:rPr>
        <w:t>①个人以及家庭信息（籍贯、年龄、居住情况）</w:t>
      </w:r>
    </w:p>
    <w:p>
      <w:r>
        <w:rPr>
          <w:rFonts w:ascii="宋体" w:hAnsi="宋体" w:eastAsia="宋体"/>
          <w:i/>
          <w:sz w:val="21"/>
        </w:rPr>
        <w:t>（待补充）</w:t>
      </w:r>
    </w:p>
    <w:p>
      <w:r>
        <w:rPr>
          <w:rFonts w:ascii="宋体" w:hAnsi="宋体" w:eastAsia="宋体"/>
          <w:sz w:val="21"/>
        </w:rPr>
        <w:t>②个人征信情况（负债、逾期、贷款到期预警以及查询情况）：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征信时间：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2026-01-30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姓名：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李开明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近一个月查询次数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近三个月查询次数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信用卡总额度：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已用额度：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贷款户数：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月供金额：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贷款总额度：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未还总本金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5,729,626</w:t>
            </w:r>
          </w:p>
        </w:tc>
      </w:tr>
    </w:tbl>
    <w:p>
      <w:r>
        <w:rPr>
          <w:rFonts w:ascii="宋体" w:hAnsi="宋体" w:eastAsia="宋体"/>
          <w:sz w:val="21"/>
        </w:rPr>
        <w:t>李开明征信整体表现较稳，信用卡及贷款当前均未见逾期记录，历史信用表现正常。名下信用卡5户、未结清3户，已用额度为0.00万元，在总授信额度缺失情况下虽无法精确测算使用率，但现阶段信用卡使用强度较低、短期透支压力小。贷款方面，当前未结清1户，未还本金合计572.96万元，负债规模偏高，需结合其经营现金流及家庭收入进一步评估偿债承压能力。近1个月查询0次、近3个月3次、近6个月4次，查询频率处于合理区间，暂未见集中申贷或融资饥渴迹象。</w:t>
      </w:r>
    </w:p>
    <w:p>
      <w:r>
        <w:rPr>
          <w:rFonts w:ascii="宋体" w:hAnsi="宋体" w:eastAsia="宋体"/>
          <w:sz w:val="21"/>
        </w:rPr>
        <w:t>企业征信：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征信时间：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公司：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借贷余额：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担保余额：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信贷机构数：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未结清机构数：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贷款机构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批款额度（万）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未还本金（万）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使用周期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i/>
          <w:sz w:val="21"/>
        </w:rPr>
        <w:t>（企业征信分析待补充）</w:t>
      </w:r>
    </w:p>
    <w:p/>
    <w:p>
      <w:r>
        <w:rPr>
          <w:rFonts w:ascii="黑体" w:hAnsi="黑体" w:eastAsia="黑体"/>
          <w:b/>
          <w:sz w:val="28"/>
        </w:rPr>
        <w:t>二、在职员工（发薪情况）</w:t>
      </w:r>
    </w:p>
    <w:p>
      <w:r>
        <w:rPr>
          <w:rFonts w:ascii="宋体" w:hAnsi="宋体" w:eastAsia="宋体"/>
          <w:b/>
          <w:sz w:val="24"/>
        </w:rPr>
        <w:t>发薪情况（月度统计）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月份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发薪笔数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发薪金额（元）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4,135.24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4,184.51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12,066.95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12,066.95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2025-09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260,753.21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12,066.95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14,979.64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13,399.89</w:t>
            </w:r>
          </w:p>
        </w:tc>
      </w:tr>
    </w:tbl>
    <w:p>
      <w:r>
        <w:rPr>
          <w:rFonts w:ascii="宋体" w:hAnsi="宋体" w:eastAsia="宋体"/>
          <w:sz w:val="21"/>
        </w:rPr>
        <w:t>发薪分析：2025-05至2025-12流水中识别到工资类支出合计约333,653.34元，月均约41,706.67元，显示企业存在持续发薪行为。</w:t>
      </w:r>
    </w:p>
    <w:p/>
    <w:p>
      <w:r>
        <w:rPr>
          <w:rFonts w:ascii="黑体" w:hAnsi="黑体" w:eastAsia="黑体"/>
          <w:b/>
          <w:sz w:val="28"/>
        </w:rPr>
        <w:t>三、经营场地（交租情况）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合同签订周期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租期</w:t>
              <w:br/>
              <w:t>(年）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场地面积</w:t>
              <w:br/>
              <w:t>（平方米）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租金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出租方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交租情况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rFonts w:ascii="宋体" w:hAnsi="宋体" w:eastAsia="宋体"/>
          <w:b/>
          <w:sz w:val="24"/>
        </w:rPr>
        <w:t>交租情况（月度统计）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月份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交租笔数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交租金额（元）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78,564.80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28,800.00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364,864.80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305,664.80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304,962.00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2025-09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445,625.80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424,694.81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607,064.84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938,907.72</w:t>
            </w:r>
          </w:p>
        </w:tc>
      </w:tr>
    </w:tbl>
    <w:p>
      <w:r>
        <w:rPr>
          <w:rFonts w:ascii="宋体" w:hAnsi="宋体" w:eastAsia="宋体"/>
          <w:sz w:val="21"/>
        </w:rPr>
        <w:t>交租分析：流水中识别到租金类支出合计约3,499,149.57元，月均约388,794.40元。</w:t>
      </w:r>
    </w:p>
    <w:p/>
    <w:p>
      <w:r>
        <w:rPr>
          <w:rFonts w:ascii="黑体" w:hAnsi="黑体" w:eastAsia="黑体"/>
          <w:b/>
          <w:sz w:val="28"/>
        </w:rPr>
        <w:t>四、对公流水分析</w:t>
      </w:r>
    </w:p>
    <w:p>
      <w:r>
        <w:rPr>
          <w:rFonts w:ascii="宋体" w:hAnsi="宋体" w:eastAsia="宋体"/>
          <w:b/>
          <w:sz w:val="24"/>
        </w:rPr>
        <w:t>总体结论</w:t>
      </w:r>
    </w:p>
    <w:p>
      <w:r>
        <w:rPr>
          <w:rFonts w:ascii="宋体" w:hAnsi="宋体" w:eastAsia="宋体"/>
          <w:sz w:val="21"/>
        </w:rPr>
        <w:t>1. 全年总收入 15,976,690.28 元，总支出 16,081,909.23 元，净额 -105,218.95 元。</w:t>
      </w:r>
    </w:p>
    <w:p>
      <w:r>
        <w:rPr>
          <w:rFonts w:ascii="宋体" w:hAnsi="宋体" w:eastAsia="宋体"/>
          <w:sz w:val="21"/>
        </w:rPr>
        <w:t>2. 其中经营性有效流水：收入以下游客户回款为主，支出以上游采购货款为主。</w:t>
      </w:r>
    </w:p>
    <w:p>
      <w:r>
        <w:rPr>
          <w:rFonts w:ascii="宋体" w:hAnsi="宋体" w:eastAsia="宋体"/>
          <w:sz w:val="21"/>
        </w:rPr>
        <w:t>3. 全年交易笔数 546 笔；经营性有效流水 468 笔；非经营性/特殊流水 78 笔。</w:t>
      </w:r>
    </w:p>
    <w:p>
      <w:r>
        <w:rPr>
          <w:rFonts w:ascii="宋体" w:hAnsi="宋体" w:eastAsia="宋体"/>
          <w:sz w:val="21"/>
        </w:rPr>
        <w:t>4. 账户余额最低 0.00 元，最高 2,862,946.58 元，末笔余额 60,488.35 元。</w:t>
      </w:r>
    </w:p>
    <w:p>
      <w:r>
        <w:rPr>
          <w:rFonts w:ascii="宋体" w:hAnsi="宋体" w:eastAsia="宋体"/>
          <w:b/>
          <w:sz w:val="24"/>
        </w:rPr>
        <w:t>AI 分析</w:t>
      </w:r>
    </w:p>
    <w:p>
      <w:r>
        <w:rPr>
          <w:rFonts w:ascii="宋体" w:hAnsi="宋体" w:eastAsia="宋体"/>
          <w:sz w:val="21"/>
        </w:rPr>
        <w:t>珠海翔远电路科技有限公司统计期内对公账户总收入1,597.67万元、总支出1,608.19万元，净流出10.52万元，整体收支规模接近，基本保持平衡，但略呈现金流净流出状态，需关注后续资金周转压力。总流水546笔，其中经营性有效笔数468笔，交易活跃度尚可；但经营性收入、经营性支出及月均收支均显示为0，反映当前数据口径下经营性收入占比及月均流水水平无法有效识别，存在数据缺失或分类异常，亦难以进一步判断是否存在明显月度异常波动，建议结合分月明细及交易对手信息复核。</w:t>
      </w:r>
    </w:p>
    <w:p>
      <w:r>
        <w:rPr>
          <w:rFonts w:ascii="宋体" w:hAnsi="宋体" w:eastAsia="宋体"/>
          <w:b/>
          <w:sz w:val="24"/>
        </w:rPr>
        <w:t>各类型流水汇总表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分类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收入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支出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净额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笔数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经营性有效流水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15,976,690.28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11,485,649.75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4,491,040.53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发薪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333,653.34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-333,653.34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交税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232,256.57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-232,256.57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公司往来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531,200.00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-531,200.00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交租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3,499,149.57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-3,499,149.57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43</w:t>
            </w:r>
          </w:p>
        </w:tc>
      </w:tr>
    </w:tbl>
    <w:p>
      <w:r>
        <w:rPr>
          <w:rFonts w:ascii="宋体" w:hAnsi="宋体" w:eastAsia="宋体"/>
          <w:b/>
          <w:sz w:val="24"/>
        </w:rPr>
        <w:t>月度收支汇总表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月份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收入（万元）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支出（万元）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净流入（万元）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87.04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54.15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32.88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139.00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134.09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4.91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48.39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67.11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-18.72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29.96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-29.96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274.00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138.70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135.30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5.43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127.85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-122.43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100.96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94.21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6.76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97.17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103.95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-6.79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2025-09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178.82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129.33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49.48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2025-10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96.29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149.61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-53.31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2025-11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149.16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119.12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30.03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2025-12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421.42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460.09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-38.68</w:t>
            </w:r>
          </w:p>
        </w:tc>
      </w:tr>
    </w:tbl>
    <w:p>
      <w:r>
        <w:rPr>
          <w:rFonts w:ascii="宋体" w:hAnsi="宋体" w:eastAsia="宋体"/>
          <w:b/>
          <w:sz w:val="24"/>
        </w:rPr>
        <w:t>经营性收入前十对象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对方户名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经营收入合计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珠海翔远电路 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2,862,946.58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平安国际融资租赁(天津)有限公司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2,170,000.00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福建太平电路科技有限公司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2,000,000.00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深圳翔远电路板科技有限公司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1,771,858.94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太平电路科技（深圳）有限公司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1,513,916.80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川汇鑫（深圳）电子有限公司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1,450,000.00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东莞市微技电子科技有限公司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951,060.20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王永红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700,000.00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深圳市海祺电子科技有限公司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481,952.61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深圳市鑫煜电子科技有限公司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400,000.00</w:t>
            </w:r>
          </w:p>
        </w:tc>
      </w:tr>
    </w:tbl>
    <w:p>
      <w:r>
        <w:rPr>
          <w:rFonts w:ascii="宋体" w:hAnsi="宋体" w:eastAsia="宋体"/>
          <w:b/>
          <w:sz w:val="24"/>
        </w:rPr>
        <w:t>经营性支出前十对象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对方户名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经营支出合计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王永红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2,709,163.00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珠海金湾区华发产业新空间园区运营有限公司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2,117,314.06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深圳市昌泰丰 实业有限公司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1,933,920.00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深圳市昌泰丰实业有限公司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1,355,215.03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珠海金湾区华 发产业新空间 园区运营有限 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618,148.50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深圳市大族数控科技股份有限公司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324,000.00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广东建滔积层板销售有限公司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208,742.00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福建太平电路科技有限公司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深圳市可信智能设备科技有限公司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177,000.00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惠州众和兴机械设备有限公司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151,875.00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五、应收分析</w:t>
      </w:r>
    </w:p>
    <w:p/>
    <w:p>
      <w:r>
        <w:rPr>
          <w:rFonts w:ascii="黑体" w:hAnsi="黑体" w:eastAsia="黑体"/>
          <w:b/>
          <w:sz w:val="28"/>
        </w:rPr>
        <w:t>六、应付分析</w:t>
      </w:r>
    </w:p>
    <w:p/>
    <w:p>
      <w:r>
        <w:rPr>
          <w:rFonts w:ascii="黑体" w:hAnsi="黑体" w:eastAsia="黑体"/>
          <w:b/>
          <w:sz w:val="28"/>
        </w:rPr>
        <w:t>七、开票情况统计分析</w:t>
      </w:r>
    </w:p>
    <w:p/>
    <w:p/>
    <w:p>
      <w:r>
        <w:rPr>
          <w:rFonts w:ascii="黑体" w:hAnsi="黑体" w:eastAsia="黑体"/>
          <w:b/>
          <w:sz w:val="28"/>
        </w:rPr>
        <w:t>八、上下游客户分析</w:t>
      </w:r>
    </w:p>
    <w:p>
      <w:r>
        <w:rPr>
          <w:rFonts w:ascii="宋体" w:hAnsi="宋体" w:eastAsia="宋体"/>
          <w:sz w:val="21"/>
        </w:rPr>
        <w:t>①公司主要客户占比分析（包含合作时长、回款账期、应收应付）：</w:t>
      </w:r>
    </w:p>
    <w:p>
      <w:r>
        <w:rPr>
          <w:rFonts w:ascii="宋体" w:hAnsi="宋体" w:eastAsia="宋体"/>
          <w:i/>
          <w:sz w:val="21"/>
        </w:rPr>
        <w:t>1、珠海翔远电路 科技有限公司（销货方）：经营性收入合计约2862946.58元。（合作时长、交货周期、核心竞争力、负面信息待补充）</w:t>
      </w:r>
    </w:p>
    <w:p>
      <w:r>
        <w:rPr>
          <w:rFonts w:ascii="宋体" w:hAnsi="宋体" w:eastAsia="宋体"/>
          <w:i/>
          <w:sz w:val="21"/>
        </w:rPr>
        <w:t>2、平安国际融资租赁(天津)有限公司（销货方）：经营性收入合计约2170000.0元。（合作时长、交货周期、核心竞争力、负面信息待补充）</w:t>
      </w:r>
    </w:p>
    <w:p>
      <w:r>
        <w:rPr>
          <w:rFonts w:ascii="宋体" w:hAnsi="宋体" w:eastAsia="宋体"/>
          <w:i/>
          <w:sz w:val="21"/>
        </w:rPr>
        <w:t>3、福建太平电路科技有限公司（供货方）：经营性收入合计约2000000.0元。（合作时长、交货周期、核心竞争力、负面信息待补充）</w:t>
      </w:r>
    </w:p>
    <w:p/>
    <w:p>
      <w:r>
        <w:rPr>
          <w:rFonts w:ascii="黑体" w:hAnsi="黑体" w:eastAsia="黑体"/>
          <w:b/>
          <w:sz w:val="28"/>
        </w:rPr>
        <w:t>九、前五大下游客户公开案件/执行风险汇总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下游客户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经营收入金额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公开风险摘要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初步判断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珠海翔远电路 科技有限公司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2,862,946.58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平安国际融资租赁(天津)有限公司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2,170,000.00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福建太平电路科技有限公司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2,000,000.00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深圳翔远电路板科技有限公司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1,771,858.94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太平电路科技（深圳）有限公司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1,513,916.80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十、综合风险评估</w:t>
      </w:r>
    </w:p>
    <w:p>
      <w:r>
        <w:rPr>
          <w:rFonts w:ascii="宋体" w:hAnsi="宋体" w:eastAsia="宋体"/>
          <w:sz w:val="21"/>
        </w:rPr>
        <w:t>从还款能力看，企业年总收入1,597.67万元，年总支出1,608.19万元，全年收支倒挂约10.52万元，盈利与现金回笼能力偏弱，单纯依靠现有收入覆盖新增债务的空间有限。法人名下未还贷款本金572.96万元，虽未见明确月供及逾期记录，但实际偿债压力不低，企业与法人层面资金承压的可能性需重点关注。</w:t>
        <w:br/>
        <w:br/>
        <w:t>从经营稳定性及信用风险看，企业经营性收入为0，应收、应付均为0，与现有收入规模明显不匹配，反映数据完整性不足，亦可能存在业务波动或核算口径异常。企业信贷机构数、借贷余额及逾期信息缺失，信用画像不完整，难以充分验证外部负债及履约表现。综合判断，企业总体风险等级为中偏高，建议审慎授信，以小额、短期限、抵质押或保证类授信为主，并在授信前补充核验近两年报表、纳税、银行流水及真实贸易背景。</w:t>
      </w:r>
    </w:p>
    <w:p/>
    <w:p>
      <w:r>
        <w:rPr>
          <w:rFonts w:ascii="黑体" w:hAnsi="黑体" w:eastAsia="黑体"/>
          <w:b/>
          <w:sz w:val="28"/>
        </w:rPr>
        <w:t>十一、总结</w:t>
      </w:r>
    </w:p>
    <w:p>
      <w:r>
        <w:rPr>
          <w:rFonts w:ascii="宋体" w:hAnsi="宋体" w:eastAsia="宋体"/>
          <w:sz w:val="21"/>
        </w:rPr>
        <w:t>综合来看，企业征信总体正常，但经营现金流略有倒挂、法人存量负债较高，新增授信宜审慎。建议控制授信额度与期限，并重点核实后续回款稳定性及增信措施落实情况。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