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客户分析报告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广东澳特浦光电有限公司</w:t>
      </w:r>
    </w:p>
    <w:p/>
    <w:p>
      <w:r>
        <w:rPr>
          <w:rFonts w:ascii="黑体" w:hAnsi="黑体" w:eastAsia="黑体"/>
          <w:b/>
          <w:sz w:val="28"/>
        </w:rPr>
        <w:t>一、个人情况</w:t>
      </w:r>
    </w:p>
    <w:p>
      <w:r>
        <w:rPr>
          <w:rFonts w:ascii="宋体" w:hAnsi="宋体" w:eastAsia="宋体"/>
          <w:sz w:val="21"/>
        </w:rPr>
        <w:t>①个人以及家庭信息（籍贯、年龄、居住情况）</w:t>
      </w:r>
    </w:p>
    <w:p>
      <w:r>
        <w:rPr>
          <w:rFonts w:ascii="宋体" w:hAnsi="宋体" w:eastAsia="宋体"/>
          <w:i/>
          <w:sz w:val="21"/>
        </w:rPr>
        <w:t>（待补充）</w:t>
      </w:r>
    </w:p>
    <w:p>
      <w:r>
        <w:rPr>
          <w:rFonts w:ascii="宋体" w:hAnsi="宋体" w:eastAsia="宋体"/>
          <w:sz w:val="21"/>
        </w:rPr>
        <w:t>②个人征信情况（负债、逾期、贷款到期预警以及查询情况）：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征信时间：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姓名：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近一个月查询次数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近三个月查询次数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信用卡总额度：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已用额度：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贷款户数：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月供金额：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贷款总额度：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未还总本金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i/>
          <w:sz w:val="21"/>
        </w:rPr>
        <w:t>（征信分析待补充）</w:t>
      </w:r>
    </w:p>
    <w:p>
      <w:r>
        <w:rPr>
          <w:rFonts w:ascii="宋体" w:hAnsi="宋体" w:eastAsia="宋体"/>
          <w:sz w:val="21"/>
        </w:rPr>
        <w:t>企业征信：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征信时间：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2025-11-03T17:17:57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公司：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广东澳特浦光电有限公司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借贷余额：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3501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担保余额：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3501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信贷机构数：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未结清机构数：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</w:tr>
      <w:tr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贷款机构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批款额度（万）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未还本金（万）</w:t>
            </w:r>
          </w:p>
        </w:tc>
        <w:tc>
          <w:tcPr>
            <w:tcW w:type="dxa" w:w="2160"/>
            <w:shd w:fill="D9E2F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使用周期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r>
        <w:rPr>
          <w:rFonts w:ascii="宋体" w:hAnsi="宋体" w:eastAsia="宋体"/>
          <w:sz w:val="21"/>
        </w:rPr>
        <w:t>广东澳特浦光电有限公司当前征信合作信贷机构21家，融资覆盖面较广，反映出企业具备一定外部融资能力，但多头授信特征也意味着融资管理复杂度较高。现有未结清机构7家，存量融资关系仍较集中。借贷余额与担保余额均为3501.00万元，表明企业现阶段负债及对外担保责任规模一致，需重点关注担保业务真实性及或有代偿风险。整体看，企业融资活跃度较高，但需警惕授信分散、担保压力与潜在集中偿债风险。</w:t>
      </w:r>
    </w:p>
    <w:p/>
    <w:p>
      <w:r>
        <w:rPr>
          <w:rFonts w:ascii="黑体" w:hAnsi="黑体" w:eastAsia="黑体"/>
          <w:b/>
          <w:sz w:val="28"/>
        </w:rPr>
        <w:t>二、在职员工（发薪情况）</w:t>
      </w:r>
    </w:p>
    <w:p>
      <w:r>
        <w:rPr>
          <w:rFonts w:ascii="宋体" w:hAnsi="宋体" w:eastAsia="宋体"/>
          <w:i/>
          <w:sz w:val="21"/>
        </w:rPr>
        <w:t>未在流水中识别到工资类支出记录。</w:t>
      </w:r>
    </w:p>
    <w:p/>
    <w:p>
      <w:r>
        <w:rPr>
          <w:rFonts w:ascii="黑体" w:hAnsi="黑体" w:eastAsia="黑体"/>
          <w:b/>
          <w:sz w:val="28"/>
        </w:rPr>
        <w:t>三、经营场地（交租情况）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合同签订周期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租期</w:t>
              <w:br/>
              <w:t>(年）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场地面积</w:t>
              <w:br/>
              <w:t>（平方米）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租金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出租方</w:t>
            </w:r>
          </w:p>
        </w:tc>
        <w:tc>
          <w:tcPr>
            <w:tcW w:type="dxa" w:w="144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交租情况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rFonts w:ascii="宋体" w:hAnsi="宋体" w:eastAsia="宋体"/>
          <w:i/>
          <w:sz w:val="21"/>
        </w:rPr>
        <w:t>未在流水中识别到明确的租金支出记录。</w:t>
      </w:r>
    </w:p>
    <w:p/>
    <w:p>
      <w:r>
        <w:rPr>
          <w:rFonts w:ascii="黑体" w:hAnsi="黑体" w:eastAsia="黑体"/>
          <w:b/>
          <w:sz w:val="28"/>
        </w:rPr>
        <w:t>四、对公流水分析</w:t>
      </w:r>
    </w:p>
    <w:p/>
    <w:p>
      <w:r>
        <w:rPr>
          <w:rFonts w:ascii="黑体" w:hAnsi="黑体" w:eastAsia="黑体"/>
          <w:b/>
          <w:sz w:val="28"/>
        </w:rPr>
        <w:t>五、应收分析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客户名称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币种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预算汇率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合计(外币)</w:t>
            </w:r>
          </w:p>
        </w:tc>
        <w:tc>
          <w:tcPr>
            <w:tcW w:type="dxa" w:w="172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合计(万元)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法国CFEE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Rafat Stanuch PPHU AWEX Sp.2 0. 0.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圭亚那HR Distributors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尼日利亚 Dan Aguson Global Resources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卡塔尔 Sun Technology W.L.L.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多米尼加 Grupo I3C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西班牙  PRISMICA SL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加拿大Bluesky Solar Tech Ltd.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沙特Altaaqa Alternative Solutions Co. Ltd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青岛孚玛模块化建筑有限公司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8"/>
              </w:rPr>
              <w:t>CNY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六、应付分析</w:t>
      </w:r>
    </w:p>
    <w:p>
      <w:r>
        <w:rPr>
          <w:rFonts w:ascii="宋体" w:hAnsi="宋体" w:eastAsia="宋体"/>
          <w:sz w:val="21"/>
        </w:rPr>
        <w:t>应付明细表显示，供应商应付余额合计约20,064.06万元。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供应商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合计(万元)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2025-11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2202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9,720.66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2202.02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9,674.54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2202.04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667.96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2202.01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0.90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科目编码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七、开票情况统计分析</w:t>
      </w:r>
    </w:p>
    <w:p>
      <w:r>
        <w:rPr>
          <w:rFonts w:ascii="宋体" w:hAnsi="宋体" w:eastAsia="宋体"/>
          <w:b/>
          <w:sz w:val="24"/>
        </w:rPr>
        <w:t>销项票年度统计表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开票张数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开票金额（万元）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280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14,133.64</w:t>
            </w:r>
          </w:p>
        </w:tc>
      </w:tr>
    </w:tbl>
    <w:p>
      <w:r>
        <w:rPr>
          <w:rFonts w:ascii="宋体" w:hAnsi="宋体" w:eastAsia="宋体"/>
          <w:b/>
          <w:sz w:val="24"/>
        </w:rPr>
        <w:t>进销项年度对比表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年份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进项金额（万元）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销项金额（万元）</w:t>
            </w:r>
          </w:p>
        </w:tc>
        <w:tc>
          <w:tcPr>
            <w:tcW w:type="dxa" w:w="216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销-进差额（万元）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2025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0.00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14,133.64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14,133.64</w:t>
            </w:r>
          </w:p>
        </w:tc>
      </w:tr>
    </w:tbl>
    <w:p>
      <w:r>
        <w:rPr>
          <w:rFonts w:ascii="宋体" w:hAnsi="宋体" w:eastAsia="宋体"/>
          <w:b/>
          <w:sz w:val="24"/>
        </w:rPr>
        <w:t>销项票月度统计表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月份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开票张数</w:t>
            </w:r>
          </w:p>
        </w:tc>
        <w:tc>
          <w:tcPr>
            <w:tcW w:type="dxa" w:w="2880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开票金额（万元）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1,021.52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771.11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2025-03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1,009.91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597.45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2025-05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947.63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2025-06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1,081.65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2025-07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1,039.04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2025-08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41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1,176.01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2025-09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38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1,586.64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2025-10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1,220.60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8"/>
              </w:rPr>
              <w:t>2025-11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58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rFonts w:ascii="宋体" w:hAnsi="宋体" w:eastAsia="宋体"/>
                <w:sz w:val="18"/>
              </w:rPr>
              <w:t>3,682.06</w:t>
            </w:r>
          </w:p>
        </w:tc>
      </w:tr>
    </w:tbl>
    <w:p/>
    <w:p/>
    <w:p>
      <w:r>
        <w:rPr>
          <w:rFonts w:ascii="黑体" w:hAnsi="黑体" w:eastAsia="黑体"/>
          <w:b/>
          <w:sz w:val="28"/>
        </w:rPr>
        <w:t>八、上下游客户分析</w:t>
      </w:r>
    </w:p>
    <w:p>
      <w:r>
        <w:rPr>
          <w:rFonts w:ascii="宋体" w:hAnsi="宋体" w:eastAsia="宋体"/>
          <w:sz w:val="21"/>
        </w:rPr>
        <w:t>①公司主要客户占比分析（包含合作时长、回款账期、应收应付）：</w:t>
      </w:r>
    </w:p>
    <w:p/>
    <w:p>
      <w:r>
        <w:rPr>
          <w:rFonts w:ascii="黑体" w:hAnsi="黑体" w:eastAsia="黑体"/>
          <w:b/>
          <w:sz w:val="28"/>
        </w:rPr>
        <w:t>九、前五大下游客户公开案件/执行风险汇总</w:t>
      </w:r>
    </w:p>
    <w:p/>
    <w:p>
      <w:r>
        <w:rPr>
          <w:rFonts w:ascii="黑体" w:hAnsi="黑体" w:eastAsia="黑体"/>
          <w:b/>
          <w:sz w:val="28"/>
        </w:rPr>
        <w:t>十、综合风险评估</w:t>
      </w:r>
    </w:p>
    <w:p>
      <w:r>
        <w:rPr>
          <w:rFonts w:ascii="宋体" w:hAnsi="宋体" w:eastAsia="宋体"/>
          <w:sz w:val="21"/>
        </w:rPr>
        <w:t>从还款能力看，企业当前借贷余额为3501.00万元，涉及21家信贷机构，融资分散且负债管理复杂。与此同时，年总收入、经营性收入及年总支出均未体现有效数据，难以验证其真实经营现金流与债务覆盖能力，现阶段无法证明主营收入对本息偿付的支撑作用。经营稳定性方面，核心经营数据缺失，说明信息透明度不足，财务可验证性偏弱，不利于判断持续经营与抗风险能力。</w:t>
        <w:br/>
        <w:br/>
        <w:t>从信用与往来结构看，法人贷款、月供及逾期信息均缺失，企业层面亦未见明确逾期记录，信用判断基础较弱。应收账款为0.00万元，而应付账款高达20064.06万元，表明上下游结算压力较大，存在较强对外部资金和商业信用的依赖。综合评定总体风险等级为中高。授信建议以审慎为主，原则上仅宜给予小额、短期限、强担保授信，并需补充近两年财报、纳税、流水及征信数据后再行核定。</w:t>
      </w:r>
    </w:p>
    <w:p/>
    <w:p>
      <w:r>
        <w:rPr>
          <w:rFonts w:ascii="黑体" w:hAnsi="黑体" w:eastAsia="黑体"/>
          <w:b/>
          <w:sz w:val="28"/>
        </w:rPr>
        <w:t>十一、总结</w:t>
      </w:r>
    </w:p>
    <w:p>
      <w:r>
        <w:rPr>
          <w:rFonts w:ascii="宋体" w:hAnsi="宋体" w:eastAsia="宋体"/>
          <w:sz w:val="21"/>
        </w:rPr>
        <w:t>建议暂缓授信或从严审慎介入，优先补充近12个月流水、纳税及财务报表，核实真实经营现金流与债务覆盖能力。鉴于存量负债规模较大且融资机构较多，建议同步排查多头融资及集中偿付风险。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