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客户分析报告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江苏和钛智控科技有限公司</w:t>
      </w:r>
    </w:p>
    <w:p/>
    <w:p>
      <w:r>
        <w:rPr>
          <w:rFonts w:ascii="黑体" w:hAnsi="黑体" w:eastAsia="黑体"/>
          <w:b/>
          <w:sz w:val="28"/>
        </w:rPr>
        <w:t>一、个人情况</w:t>
      </w:r>
    </w:p>
    <w:p>
      <w:r>
        <w:rPr>
          <w:rFonts w:ascii="宋体" w:hAnsi="宋体" w:eastAsia="宋体"/>
          <w:sz w:val="21"/>
        </w:rPr>
        <w:t>①个人以及家庭信息（籍贯、年龄、居住情况）</w:t>
      </w:r>
    </w:p>
    <w:p>
      <w:r>
        <w:rPr>
          <w:rFonts w:ascii="宋体" w:hAnsi="宋体" w:eastAsia="宋体"/>
          <w:i/>
          <w:sz w:val="21"/>
        </w:rPr>
        <w:t>（待补充）</w:t>
      </w:r>
    </w:p>
    <w:p>
      <w:r>
        <w:rPr>
          <w:rFonts w:ascii="宋体" w:hAnsi="宋体" w:eastAsia="宋体"/>
          <w:sz w:val="21"/>
        </w:rPr>
        <w:t>②个人征信情况（负债、逾期、贷款到期预警以及查询情况）：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征信时间：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2026-03-12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姓名：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陈猛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近一个月查询次数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近三个月查询次数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信用卡总额度：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126,000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已用额度：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8,442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贷款户数：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月供金额：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≈5,100（推算）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贷款总额度：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8,929,000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未还总本金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1,360,000</w:t>
            </w:r>
          </w:p>
        </w:tc>
      </w:tr>
    </w:tbl>
    <w:p>
      <w:r>
        <w:rPr>
          <w:rFonts w:ascii="宋体" w:hAnsi="宋体" w:eastAsia="宋体"/>
          <w:sz w:val="21"/>
        </w:rPr>
        <w:t>陈猛于2026年3月12日征信显示，信用卡21户、未结清15户，总授信12.60万元，已用0.84万元，使用率约6.70%，整体占用较低，流动性压力可控；贷款5户，当前仅1户未结清，贷款总额892.90万元，未还本金136.00万元，月供约0.51万元，存量负债规模尚可控。信用卡及贷款均未见逾期，历史还款表现正常。近1个月、3个月、6个月查询分别为1次、4次、6次，频率处于合理区间，未见明显集中申贷迹象。需关注其离婚状态下个人偿债稳定性及多头信用卡账户管理情况。</w:t>
      </w:r>
    </w:p>
    <w:p>
      <w:r>
        <w:rPr>
          <w:rFonts w:ascii="宋体" w:hAnsi="宋体" w:eastAsia="宋体"/>
          <w:sz w:val="21"/>
        </w:rPr>
        <w:t>企业征信：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征信时间：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2026-03-13T15:37:37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公司：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江苏和钛智控科技有限公司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借贷余额：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担保余额：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信贷机构数：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未结清机构数：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</w:tr>
      <w:tr>
        <w:tc>
          <w:tcPr>
            <w:tcW w:type="dxa" w:w="2160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贷款机构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批款额度（万）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未还本金（万）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使用周期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rPr>
          <w:rFonts w:ascii="宋体" w:hAnsi="宋体" w:eastAsia="宋体"/>
          <w:sz w:val="21"/>
        </w:rPr>
        <w:t>江苏和钛智控科技有限公司当前征信记录显示，信贷机构数、未结清机构数、借贷余额及担保余额均为0，表明企业暂无银行及非银机构公开信贷负债，整体债务负担较轻，短期内不存在存量融资压降压力。从风险角度看，企业外部杠杆水平低、或有担保责任未显现，但同时也反映出征信层面缺乏有效授信和还款历史，信用沉淀相对不足。后续授信审查中，建议重点结合经营流水、纳税、订单稳定性及股东实力综合判断其真实融资能力与履约水平。</w:t>
      </w:r>
    </w:p>
    <w:p/>
    <w:p>
      <w:r>
        <w:rPr>
          <w:rFonts w:ascii="黑体" w:hAnsi="黑体" w:eastAsia="黑体"/>
          <w:b/>
          <w:sz w:val="28"/>
        </w:rPr>
        <w:t>二、在职员工（发薪情况）</w:t>
      </w:r>
    </w:p>
    <w:p>
      <w:r>
        <w:rPr>
          <w:rFonts w:ascii="宋体" w:hAnsi="宋体" w:eastAsia="宋体"/>
          <w:b/>
          <w:sz w:val="24"/>
        </w:rPr>
        <w:t>发薪情况（月度统计）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月份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发薪笔数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发薪金额（元）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2026-01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259,144.40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2026-02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342,851.90</w:t>
            </w:r>
          </w:p>
        </w:tc>
      </w:tr>
    </w:tbl>
    <w:p>
      <w:r>
        <w:rPr>
          <w:rFonts w:ascii="宋体" w:hAnsi="宋体" w:eastAsia="宋体"/>
          <w:sz w:val="21"/>
        </w:rPr>
        <w:t>发薪分析：2026-01至2026-02流水中识别到工资类支出合计约601,996.30元，月均约300,998.15元，显示企业存在持续发薪行为。</w:t>
      </w:r>
    </w:p>
    <w:p/>
    <w:p>
      <w:r>
        <w:rPr>
          <w:rFonts w:ascii="黑体" w:hAnsi="黑体" w:eastAsia="黑体"/>
          <w:b/>
          <w:sz w:val="28"/>
        </w:rPr>
        <w:t>三、经营场地（交租情况）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合同签订周期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租期</w:t>
              <w:br/>
              <w:t>(年）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场地面积</w:t>
              <w:br/>
              <w:t>（平方米）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租金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出租方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交租情况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>
          <w:rFonts w:ascii="宋体" w:hAnsi="宋体" w:eastAsia="宋体"/>
          <w:i/>
          <w:sz w:val="21"/>
        </w:rPr>
        <w:t>未在流水中识别到明确的租金支出记录。</w:t>
      </w:r>
    </w:p>
    <w:p/>
    <w:p>
      <w:r>
        <w:rPr>
          <w:rFonts w:ascii="黑体" w:hAnsi="黑体" w:eastAsia="黑体"/>
          <w:b/>
          <w:sz w:val="28"/>
        </w:rPr>
        <w:t>四、对公流水分析</w:t>
      </w:r>
    </w:p>
    <w:p>
      <w:r>
        <w:rPr>
          <w:rFonts w:ascii="宋体" w:hAnsi="宋体" w:eastAsia="宋体"/>
          <w:b/>
          <w:sz w:val="24"/>
        </w:rPr>
        <w:t>总体结论</w:t>
      </w:r>
    </w:p>
    <w:p>
      <w:r>
        <w:rPr>
          <w:rFonts w:ascii="宋体" w:hAnsi="宋体" w:eastAsia="宋体"/>
          <w:sz w:val="21"/>
        </w:rPr>
        <w:t>1. 全年总收入 10,565,111.28 元，总支出 8,342,508.87 元，净额 2,222,602.41 元。</w:t>
      </w:r>
    </w:p>
    <w:p>
      <w:r>
        <w:rPr>
          <w:rFonts w:ascii="宋体" w:hAnsi="宋体" w:eastAsia="宋体"/>
          <w:sz w:val="21"/>
        </w:rPr>
        <w:t>2. 其中经营性有效流水：收入以下游客户回款为主，支出以上游采购货款为主。</w:t>
      </w:r>
    </w:p>
    <w:p>
      <w:r>
        <w:rPr>
          <w:rFonts w:ascii="宋体" w:hAnsi="宋体" w:eastAsia="宋体"/>
          <w:sz w:val="21"/>
        </w:rPr>
        <w:t>3. 全年交易笔数 152 笔；经营性有效流水 133 笔；非经营性/特殊流水 19 笔。</w:t>
      </w:r>
    </w:p>
    <w:p>
      <w:r>
        <w:rPr>
          <w:rFonts w:ascii="宋体" w:hAnsi="宋体" w:eastAsia="宋体"/>
          <w:sz w:val="21"/>
        </w:rPr>
        <w:t>4. 账户余额最低 42,159.48 元，最高 4,032,062.36 元，末笔余额 2,609,493.17 元。</w:t>
      </w:r>
    </w:p>
    <w:p>
      <w:r>
        <w:rPr>
          <w:rFonts w:ascii="宋体" w:hAnsi="宋体" w:eastAsia="宋体"/>
          <w:b/>
          <w:sz w:val="24"/>
        </w:rPr>
        <w:t>AI 分析</w:t>
      </w:r>
    </w:p>
    <w:p>
      <w:r>
        <w:rPr>
          <w:rFonts w:ascii="宋体" w:hAnsi="宋体" w:eastAsia="宋体"/>
          <w:sz w:val="21"/>
        </w:rPr>
        <w:t>江苏和钛智控科技有限公司报告期内账户总收入1,056.51万元、总支出834.25万元，净流入222.26万元，整体收支呈顺差，资金沉淀能力尚可，经营周转基本保持正向。总流水152笔，其中经营性有效笔数133笔，占比约87.50%，说明交易活跃度较高。但经营性收入、经营性支出及月均收支均显示为0，数据口径明显缺失，暂无法准确判断经营性收入占比、月均流水水平及是否存在明显月度异常波动，建议补充分月流水及交易分类后进一步核验。</w:t>
      </w:r>
    </w:p>
    <w:p>
      <w:r>
        <w:rPr>
          <w:rFonts w:ascii="宋体" w:hAnsi="宋体" w:eastAsia="宋体"/>
          <w:b/>
          <w:sz w:val="24"/>
        </w:rPr>
        <w:t>各类型流水汇总表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分类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收入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支出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净额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笔数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经营性有效流水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9,670,090.91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6,994,363.17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2,675,727.74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发薪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601,996.30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-601,996.30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交税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895,020.37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16,149.40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878,870.97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公司往来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730,000.00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-730,000.00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</w:tr>
    </w:tbl>
    <w:p>
      <w:r>
        <w:rPr>
          <w:rFonts w:ascii="宋体" w:hAnsi="宋体" w:eastAsia="宋体"/>
          <w:b/>
          <w:sz w:val="24"/>
        </w:rPr>
        <w:t>月度收支汇总表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月份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收入（万元）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支出（万元）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净流入（万元）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2026-01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517.19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473.93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43.27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2026-02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398.99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126.90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272.09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2026-03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140.33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233.42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-93.10</w:t>
            </w:r>
          </w:p>
        </w:tc>
      </w:tr>
    </w:tbl>
    <w:p>
      <w:r>
        <w:rPr>
          <w:rFonts w:ascii="宋体" w:hAnsi="宋体" w:eastAsia="宋体"/>
          <w:b/>
          <w:sz w:val="24"/>
        </w:rPr>
        <w:t>经营性收入前十对象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对方户名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经营收入合计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9,307,353.61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贵州友荣创通信科技有限公司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270,000.00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深圳市英卡科技有限公司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67,000.00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高邮市盛泰办公用品店（个体工商户）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13,957.30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深圳市义兴五金设备有限公司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8,320.00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深圳市影领电子有限公司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3,460.00</w:t>
            </w:r>
          </w:p>
        </w:tc>
      </w:tr>
    </w:tbl>
    <w:p>
      <w:r>
        <w:rPr>
          <w:rFonts w:ascii="宋体" w:hAnsi="宋体" w:eastAsia="宋体"/>
          <w:b/>
          <w:sz w:val="24"/>
        </w:rPr>
        <w:t>经营性支出前十对象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对方户名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经营支出合计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深圳市勤泰智能信息技术有限公司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1,741,542.27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上海锐伟科技有限公司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1,624,650.00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深圳市忆博通数码电子有限公司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1,190,000.76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贵州友荣创通信科技有限公司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605,000.00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深圳市卜兰沃德科技有限公司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310,000.00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深圳市守护宝通讯有限公司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279,328.50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深圳市兴邦达显示技术有限公司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190,781.48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重庆联懋电子股份有限公司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188,730.00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江苏诚盛科技集团有限公司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112,718.76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东莞市景湾印务有限公司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112,637.25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五、应收分析</w:t>
      </w:r>
    </w:p>
    <w:p>
      <w:r>
        <w:rPr>
          <w:rFonts w:ascii="宋体" w:hAnsi="宋体" w:eastAsia="宋体"/>
          <w:sz w:val="21"/>
        </w:rPr>
        <w:t>应收明细账显示，应收合计约7,240.60万元（外币10,647,934.43 USD，预算汇率6.8）。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客户名称</w:t>
            </w:r>
          </w:p>
        </w:tc>
        <w:tc>
          <w:tcPr>
            <w:tcW w:type="dxa" w:w="576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币种</w:t>
            </w:r>
          </w:p>
        </w:tc>
        <w:tc>
          <w:tcPr>
            <w:tcW w:type="dxa" w:w="576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预算汇率</w:t>
            </w:r>
          </w:p>
        </w:tc>
        <w:tc>
          <w:tcPr>
            <w:tcW w:type="dxa" w:w="576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合计(外币)</w:t>
            </w:r>
          </w:p>
        </w:tc>
        <w:tc>
          <w:tcPr>
            <w:tcW w:type="dxa" w:w="576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合计(万元)</w:t>
            </w:r>
          </w:p>
        </w:tc>
        <w:tc>
          <w:tcPr>
            <w:tcW w:type="dxa" w:w="576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2025-08</w:t>
            </w:r>
          </w:p>
        </w:tc>
        <w:tc>
          <w:tcPr>
            <w:tcW w:type="dxa" w:w="576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2025-09</w:t>
            </w:r>
          </w:p>
        </w:tc>
        <w:tc>
          <w:tcPr>
            <w:tcW w:type="dxa" w:w="576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2025-10</w:t>
            </w:r>
          </w:p>
        </w:tc>
        <w:tc>
          <w:tcPr>
            <w:tcW w:type="dxa" w:w="576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2025-11</w:t>
            </w:r>
          </w:p>
        </w:tc>
        <w:tc>
          <w:tcPr>
            <w:tcW w:type="dxa" w:w="576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2025-12</w:t>
            </w:r>
          </w:p>
        </w:tc>
        <w:tc>
          <w:tcPr>
            <w:tcW w:type="dxa" w:w="576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2026-01</w:t>
            </w:r>
          </w:p>
        </w:tc>
        <w:tc>
          <w:tcPr>
            <w:tcW w:type="dxa" w:w="576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2026-02</w:t>
            </w:r>
          </w:p>
        </w:tc>
        <w:tc>
          <w:tcPr>
            <w:tcW w:type="dxa" w:w="576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2026-03</w:t>
            </w:r>
          </w:p>
        </w:tc>
        <w:tc>
          <w:tcPr>
            <w:tcW w:type="dxa" w:w="576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2026-04</w:t>
            </w:r>
          </w:p>
        </w:tc>
        <w:tc>
          <w:tcPr>
            <w:tcW w:type="dxa" w:w="576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2026-05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宋体" w:hAnsi="宋体" w:eastAsia="宋体"/>
                <w:sz w:val="18"/>
              </w:rPr>
              <w:t>HONGTAI INTELLIGENCE INTERNATIONAL CO.,LIMITED</w:t>
            </w:r>
          </w:p>
        </w:tc>
        <w:tc>
          <w:tcPr>
            <w:tcW w:type="dxa" w:w="576"/>
          </w:tcPr>
          <w:p>
            <w:r/>
            <w:r>
              <w:rPr>
                <w:rFonts w:ascii="宋体" w:hAnsi="宋体" w:eastAsia="宋体"/>
                <w:sz w:val="18"/>
              </w:rPr>
              <w:t>USD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6.80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5858889.43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3,984.04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310410.40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656403.04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791831.92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1158525.52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231474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552194.32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662843.23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334507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566800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593900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宋体" w:hAnsi="宋体" w:eastAsia="宋体"/>
                <w:sz w:val="18"/>
              </w:rPr>
              <w:t>WORLD WIDE TRADING SOLUTIONS FZ-LLC</w:t>
            </w:r>
          </w:p>
        </w:tc>
        <w:tc>
          <w:tcPr>
            <w:tcW w:type="dxa" w:w="576"/>
          </w:tcPr>
          <w:p>
            <w:r/>
            <w:r>
              <w:rPr>
                <w:rFonts w:ascii="宋体" w:hAnsi="宋体" w:eastAsia="宋体"/>
                <w:sz w:val="18"/>
              </w:rPr>
              <w:t>USD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6.80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4060800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2,761.34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642960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1500240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1917600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宋体" w:hAnsi="宋体" w:eastAsia="宋体"/>
                <w:sz w:val="18"/>
              </w:rPr>
              <w:t>HK TRIPLE GADGETS LIMITED</w:t>
            </w:r>
          </w:p>
        </w:tc>
        <w:tc>
          <w:tcPr>
            <w:tcW w:type="dxa" w:w="576"/>
          </w:tcPr>
          <w:p>
            <w:r/>
            <w:r>
              <w:rPr>
                <w:rFonts w:ascii="宋体" w:hAnsi="宋体" w:eastAsia="宋体"/>
                <w:sz w:val="18"/>
              </w:rPr>
              <w:t>USD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6.80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728245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495.21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259445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149300</w:t>
            </w:r>
          </w:p>
        </w:tc>
        <w:tc>
          <w:tcPr>
            <w:tcW w:type="dxa" w:w="576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319500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六、应付分析</w:t>
      </w:r>
    </w:p>
    <w:p>
      <w:r>
        <w:rPr>
          <w:rFonts w:ascii="宋体" w:hAnsi="宋体" w:eastAsia="宋体"/>
          <w:sz w:val="21"/>
        </w:rPr>
        <w:t>应付明细表显示，供应商应付余额合计约1,038.78万元。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供应商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合计(万元)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深圳市兴邦达显示技术有限公司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250.52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深圳市忆博通数码电子有限公司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250.20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深圳市佳劲源科技有限公司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172.55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深圳市佳信德科技有限公司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61.01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深圳市颖勤电子有限公司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53.69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东莞市瑞锦泰通讯科技有限公司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43.99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深圳市影领电子有限公司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41.92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惠州市恒鑫电子科技有限公司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29.28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东莞市景湾印务有限公司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21.53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8"/>
              </w:rPr>
              <w:t>泸州市深诺鑫电子科技有限公司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19.29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七、开票情况统计分析</w:t>
      </w:r>
    </w:p>
    <w:p>
      <w:r>
        <w:rPr>
          <w:rFonts w:ascii="宋体" w:hAnsi="宋体" w:eastAsia="宋体"/>
          <w:b/>
          <w:sz w:val="24"/>
        </w:rPr>
        <w:t>进项票年度统计表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开票张数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开票金额（万元）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2025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672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5,317.03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2026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195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2,100.79</w:t>
            </w:r>
          </w:p>
        </w:tc>
      </w:tr>
    </w:tbl>
    <w:p>
      <w:r>
        <w:rPr>
          <w:rFonts w:ascii="宋体" w:hAnsi="宋体" w:eastAsia="宋体"/>
          <w:b/>
          <w:sz w:val="24"/>
        </w:rPr>
        <w:t>销项票年度统计表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开票张数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开票金额（万元）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2025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3,574.47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2026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1,616.13</w:t>
            </w:r>
          </w:p>
        </w:tc>
      </w:tr>
    </w:tbl>
    <w:p>
      <w:r>
        <w:rPr>
          <w:rFonts w:ascii="宋体" w:hAnsi="宋体" w:eastAsia="宋体"/>
          <w:b/>
          <w:sz w:val="24"/>
        </w:rPr>
        <w:t>进销项年度对比表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年份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进项金额（万元）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销项金额（万元）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销-进差额（万元）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2025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5,317.03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3,574.47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-1,742.56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2026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2,100.79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1,616.13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-484.66</w:t>
            </w:r>
          </w:p>
        </w:tc>
      </w:tr>
    </w:tbl>
    <w:p>
      <w:r>
        <w:rPr>
          <w:rFonts w:ascii="宋体" w:hAnsi="宋体" w:eastAsia="宋体"/>
          <w:b/>
          <w:sz w:val="24"/>
        </w:rPr>
        <w:t>进项票月度统计表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月份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开票张数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开票金额（万元）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2025-06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15.49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2025-07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33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162.60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2025-08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456.28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2025-09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118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609.21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2025-10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157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1,625.29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2025-11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131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1,379.32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2025-12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126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1,068.84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2026-01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107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1,205.38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2026-02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55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836.58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2026-03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33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58.83</w:t>
            </w:r>
          </w:p>
        </w:tc>
      </w:tr>
    </w:tbl>
    <w:p>
      <w:r>
        <w:rPr>
          <w:rFonts w:ascii="宋体" w:hAnsi="宋体" w:eastAsia="宋体"/>
          <w:b/>
          <w:sz w:val="24"/>
        </w:rPr>
        <w:t>销项票月度统计表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月份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开票张数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开票金额（万元）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2025-08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8.65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2025-09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1,064.25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2025-10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716.56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2025-11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1,451.68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2025-12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333.33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2026-01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777.27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2026-02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838.86</w:t>
            </w:r>
          </w:p>
        </w:tc>
      </w:tr>
    </w:tbl>
    <w:p>
      <w:r>
        <w:rPr>
          <w:rFonts w:ascii="宋体" w:hAnsi="宋体" w:eastAsia="宋体"/>
          <w:b/>
          <w:sz w:val="24"/>
        </w:rPr>
        <w:t>出口发票统计（按币种）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币种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张数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外币金额合计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RMB金额合计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RMB金额合计（万元）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平均汇率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USD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15,175,526.47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61,757,339.87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6,175.73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6.36</w:t>
            </w:r>
          </w:p>
        </w:tc>
      </w:tr>
    </w:tbl>
    <w:p>
      <w:r>
        <w:rPr>
          <w:rFonts w:ascii="宋体" w:hAnsi="宋体" w:eastAsia="宋体"/>
          <w:sz w:val="21"/>
        </w:rPr>
        <w:t>出口发票分析：出口发票RMB折算金额合计61,757,339.87元（6,175.73万元），占全部销项票金额的107.7%。全部销项票金额合计57,336,364.21元（5,733.64万元）。</w:t>
      </w:r>
    </w:p>
    <w:p/>
    <w:p/>
    <w:p>
      <w:r>
        <w:rPr>
          <w:rFonts w:ascii="黑体" w:hAnsi="黑体" w:eastAsia="黑体"/>
          <w:b/>
          <w:sz w:val="28"/>
        </w:rPr>
        <w:t>八、上下游客户分析</w:t>
      </w:r>
    </w:p>
    <w:p>
      <w:r>
        <w:rPr>
          <w:rFonts w:ascii="宋体" w:hAnsi="宋体" w:eastAsia="宋体"/>
          <w:sz w:val="21"/>
        </w:rPr>
        <w:t>①公司主要客户占比分析（包含合作时长、回款账期、应收应付）：</w:t>
      </w:r>
    </w:p>
    <w:p>
      <w:r>
        <w:rPr>
          <w:rFonts w:ascii="宋体" w:hAnsi="宋体" w:eastAsia="宋体"/>
          <w:i/>
          <w:sz w:val="21"/>
        </w:rPr>
        <w:t>1、（销货方）：经营性收入合计约9307353.61元。（合作时长、交货周期、核心竞争力、负面信息待补充）</w:t>
      </w:r>
    </w:p>
    <w:p>
      <w:r>
        <w:rPr>
          <w:rFonts w:ascii="宋体" w:hAnsi="宋体" w:eastAsia="宋体"/>
          <w:i/>
          <w:sz w:val="21"/>
        </w:rPr>
        <w:t>2、贵州友荣创通信科技有限公司（销货方）：经营性收入合计约270000.0元。（合作时长、交货周期、核心竞争力、负面信息待补充）</w:t>
      </w:r>
    </w:p>
    <w:p>
      <w:r>
        <w:rPr>
          <w:rFonts w:ascii="宋体" w:hAnsi="宋体" w:eastAsia="宋体"/>
          <w:i/>
          <w:sz w:val="21"/>
        </w:rPr>
        <w:t>3、深圳市英卡科技有限公司（供货方）：经营性收入合计约67000.0元。（合作时长、交货周期、核心竞争力、负面信息待补充）</w:t>
      </w:r>
    </w:p>
    <w:p/>
    <w:p>
      <w:r>
        <w:rPr>
          <w:rFonts w:ascii="黑体" w:hAnsi="黑体" w:eastAsia="黑体"/>
          <w:b/>
          <w:sz w:val="28"/>
        </w:rPr>
        <w:t>九、前五大下游客户公开案件/执行风险汇总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下游客户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经营收入金额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公开风险摘要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初步判断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9,307,353.61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贵州友荣创通信科技有限公司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270,000.00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深圳市英卡科技有限公司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67,000.00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高邮市盛泰办公用品店（个体工商户）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13,957.30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深圳市义兴五金设备有限公司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8,320.00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（待补充）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十、综合风险评估</w:t>
      </w:r>
    </w:p>
    <w:p>
      <w:r>
        <w:rPr>
          <w:rFonts w:ascii="宋体" w:hAnsi="宋体" w:eastAsia="宋体"/>
          <w:sz w:val="21"/>
        </w:rPr>
        <w:t>从还款能力看，企业年总收入1,056.51万元，年总支出834.25万元，年度资金结余约222.26万元，经营层面具备一定偿债覆盖能力。企业名下无存量贷款，外部债务负担较轻；法人个人未还本金136.00万元，月供约0.51万元，当前未见逾期，对企业现金流形成的直接压力有限。整体看，短期偿债能力尚可，但盈利积累规模仍不算充裕。</w:t>
        <w:br/>
        <w:br/>
        <w:t>从经营稳定性和信用情况看，企业收入规模尚可、支出控制相对稳定，但经营性收入录入为0，与年总收入存在一定口径差异，需关注财务数据真实性及收入结构稳定性。企业信贷机构数为0、借贷余额为0，信用记录较为干净，法人亦未见逾期，信用表现总体正常。应收账款高达7,240.60万元，显著高于年度收入规模，应付为1,038.78万元，表明资金占压较重，回款周期和应收质量是核心风险点。综合判断总体风险等级为中等，建议审慎授信，可给予中小额度、短期限流动资金授信，并要求落实法人担保、核验主要应收账款真实性及回款路径，原则上以回款覆盖为主要还款来源。</w:t>
      </w:r>
    </w:p>
    <w:p/>
    <w:p>
      <w:r>
        <w:rPr>
          <w:rFonts w:ascii="黑体" w:hAnsi="黑体" w:eastAsia="黑体"/>
          <w:b/>
          <w:sz w:val="28"/>
        </w:rPr>
        <w:t>十一、总结</w:t>
      </w:r>
    </w:p>
    <w:p>
      <w:r>
        <w:rPr>
          <w:rFonts w:ascii="宋体" w:hAnsi="宋体" w:eastAsia="宋体"/>
          <w:sz w:val="21"/>
        </w:rPr>
        <w:t>建议重点核实法人个人未结清贷款及其还款安排，防范个人负债向企业传导。在企业经营现金流持续净流入、外部债务较轻的基础上，可审慎给予授信支持。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