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proved valuable for researchers trying to develop models to forecast the spread of flu epidemics. Besides the CDC data, there are many disparate data of human behavior patterns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local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The datasets cover the flu seasons 2012-2013, 2013-2014 and 2014-2015. Performers can use all or some of the datasets for their development. The public set consists of data from the 2012-2013 and 2013-2014 flu seasons. The 2014-2015 flu season data is used as the private set for evaluation. All of the 2014-2015 Phase 1 data except for the state and district level ILI rates from the select states are available as input to the models. Performers are 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estimate ILI rates more timely than the published CDC data and at the spatial resolution finer than that of the CDC data. The ILI data from CDC and states have 1 to 2 weeks of delay. The models developed by the performers are used to nowcast the weekly state and district ILI rates of the select states. The nowcast results will be compared to the released data from CDC and </w:t>
      </w:r>
      <w:r>
        <w:lastRenderedPageBreak/>
        <w:t xml:space="preserve">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All of the 2012-2015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The evaluation will be conducted on the most recent 2015-2016 flu season. Performers are evaluated based on their nowcast state and district ILI rates against the actual ILI rates.</w:t>
      </w:r>
    </w:p>
    <w:p w:rsidR="0092071F" w:rsidRDefault="0092071F" w:rsidP="0092071F">
      <w:pPr>
        <w:pStyle w:val="Heading1"/>
        <w:rPr>
          <w:rFonts w:eastAsia="Times New Roman"/>
        </w:rPr>
      </w:pPr>
      <w:r>
        <w:rPr>
          <w:rFonts w:eastAsia="Times New Roman"/>
        </w:rPr>
        <w:t>Data Description</w:t>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904C07">
        <w:trPr>
          <w:cnfStyle w:val="000000100000"/>
        </w:trPr>
        <w:tc>
          <w:tcPr>
            <w:cnfStyle w:val="001000000000"/>
            <w:tcW w:w="9576" w:type="dxa"/>
          </w:tcPr>
          <w:p w:rsidR="0092071F" w:rsidRDefault="0092071F" w:rsidP="00904C07">
            <w:r>
              <w:t>Main Datasets</w:t>
            </w:r>
          </w:p>
        </w:tc>
      </w:tr>
      <w:tr w:rsidR="0092071F" w:rsidTr="00904C07">
        <w:trPr>
          <w:cnfStyle w:val="000000010000"/>
        </w:trPr>
        <w:tc>
          <w:tcPr>
            <w:cnfStyle w:val="00100000000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trPr>
        <w:tc>
          <w:tcPr>
            <w:cnfStyle w:val="001000000000"/>
            <w:tcW w:w="9576" w:type="dxa"/>
          </w:tcPr>
          <w:p w:rsidR="0092071F" w:rsidRPr="00DA52B4" w:rsidRDefault="0092071F" w:rsidP="00AA655B">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(ILINet) with roughly 2 weeks of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5 age groups. </w:t>
            </w:r>
          </w:p>
        </w:tc>
      </w:tr>
      <w:tr w:rsidR="0092071F" w:rsidTr="00904C07">
        <w:trPr>
          <w:cnfStyle w:val="000000010000"/>
        </w:trPr>
        <w:tc>
          <w:tcPr>
            <w:cnfStyle w:val="001000000000"/>
            <w:tcW w:w="9576" w:type="dxa"/>
          </w:tcPr>
          <w:p w:rsidR="0092071F" w:rsidRPr="00F310A4" w:rsidRDefault="0092071F" w:rsidP="00904C07">
            <w:pPr>
              <w:rPr>
                <w:b w:val="0"/>
              </w:rPr>
            </w:pPr>
            <w:r>
              <w:rPr>
                <w:b w:val="0"/>
              </w:rPr>
              <w:t>CDC Seasonal Flu Activity Level (States)</w:t>
            </w:r>
          </w:p>
        </w:tc>
      </w:tr>
      <w:tr w:rsidR="0092071F" w:rsidTr="00904C07">
        <w:trPr>
          <w:cnfStyle w:val="000000100000"/>
        </w:trPr>
        <w:tc>
          <w:tcPr>
            <w:cnfStyle w:val="001000000000"/>
            <w:tcW w:w="9576" w:type="dxa"/>
          </w:tcPr>
          <w:p w:rsidR="0092071F" w:rsidRPr="00F310A4" w:rsidRDefault="0092071F" w:rsidP="00904C07">
            <w:pPr>
              <w:rPr>
                <w:b w:val="0"/>
              </w:rPr>
            </w:pPr>
            <w:r>
              <w:rPr>
                <w:b w:val="0"/>
              </w:rPr>
              <w:t>CDC also publishes the weekly measure of flu activity of 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trPr>
        <w:tc>
          <w:tcPr>
            <w:cnfStyle w:val="001000000000"/>
            <w:tcW w:w="9576" w:type="dxa"/>
          </w:tcPr>
          <w:p w:rsidR="0092071F" w:rsidRPr="00F640A4" w:rsidRDefault="0092071F" w:rsidP="00904C07">
            <w:pPr>
              <w:rPr>
                <w:b w:val="0"/>
              </w:rPr>
            </w:pPr>
            <w:r>
              <w:rPr>
                <w:b w:val="0"/>
              </w:rPr>
              <w:t>State and County ILI Rates (Select states and counties)</w:t>
            </w:r>
          </w:p>
        </w:tc>
      </w:tr>
      <w:tr w:rsidR="0092071F" w:rsidTr="00904C07">
        <w:trPr>
          <w:cnfStyle w:val="000000100000"/>
        </w:trPr>
        <w:tc>
          <w:tcPr>
            <w:cnfStyle w:val="001000000000"/>
            <w:tcW w:w="9576" w:type="dxa"/>
          </w:tcPr>
          <w:p w:rsidR="0092071F" w:rsidRPr="007267F5" w:rsidRDefault="0092071F" w:rsidP="00904C07">
            <w:pPr>
              <w:rPr>
                <w:b w:val="0"/>
              </w:rPr>
            </w:pPr>
            <w:r>
              <w:rPr>
                <w:b w:val="0"/>
              </w:rPr>
              <w:t xml:space="preserve">This dataset contains percentages of ILI cases from </w:t>
            </w:r>
            <w:r w:rsidRPr="007267F5">
              <w:rPr>
                <w:b w:val="0"/>
              </w:rPr>
              <w:t>Maryland, North Carolina, Rhode Island and Texas</w:t>
            </w:r>
            <w:r>
              <w:rPr>
                <w:b w:val="0"/>
              </w:rPr>
              <w:t xml:space="preserve"> </w:t>
            </w:r>
            <w:proofErr w:type="gramStart"/>
            <w:r>
              <w:rPr>
                <w:b w:val="0"/>
              </w:rPr>
              <w:t>between 2012-2013</w:t>
            </w:r>
            <w:proofErr w:type="gramEnd"/>
            <w:r>
              <w:rPr>
                <w:b w:val="0"/>
              </w:rPr>
              <w:t xml:space="preserve"> and 2014-2015 flu seasons. For </w:t>
            </w:r>
            <w:r w:rsidRPr="009E3468">
              <w:rPr>
                <w:b w:val="0"/>
              </w:rPr>
              <w:t>Mississippi and Tennessee</w:t>
            </w:r>
            <w:r>
              <w:rPr>
                <w:b w:val="0"/>
              </w:rPr>
              <w:t xml:space="preserve">, percentages of ILI cases are also broken out by districts/regions. Mississippi is divided into 9 districts and Tennessee into 13 regions, where each district/region consists of multiple counties. The district/region data are available between 2012-2013 and 2014-2015 flu seasons. However, some districts/regions </w:t>
            </w:r>
            <w:proofErr w:type="gramStart"/>
            <w:r>
              <w:rPr>
                <w:b w:val="0"/>
              </w:rPr>
              <w:t>in  some</w:t>
            </w:r>
            <w:proofErr w:type="gramEnd"/>
            <w:r>
              <w:rPr>
                <w:b w:val="0"/>
              </w:rPr>
              <w:t xml:space="preserve"> weeks have missing ILI data.</w:t>
            </w:r>
          </w:p>
        </w:tc>
      </w:tr>
      <w:tr w:rsidR="0092071F" w:rsidTr="00904C07">
        <w:trPr>
          <w:cnfStyle w:val="000000010000"/>
        </w:trPr>
        <w:tc>
          <w:tcPr>
            <w:cnfStyle w:val="001000000000"/>
            <w:tcW w:w="9576" w:type="dxa"/>
          </w:tcPr>
          <w:p w:rsidR="0092071F" w:rsidRPr="006E3505" w:rsidRDefault="0092071F" w:rsidP="00904C07">
            <w:pPr>
              <w:rPr>
                <w:b w:val="0"/>
              </w:rPr>
            </w:pPr>
            <w:r>
              <w:rPr>
                <w:b w:val="0"/>
              </w:rPr>
              <w:t>Twitter Data</w:t>
            </w:r>
          </w:p>
        </w:tc>
      </w:tr>
      <w:tr w:rsidR="0092071F" w:rsidTr="00904C07">
        <w:trPr>
          <w:cnfStyle w:val="000000100000"/>
        </w:trPr>
        <w:tc>
          <w:tcPr>
            <w:cnfStyle w:val="001000000000"/>
            <w:tcW w:w="9576" w:type="dxa"/>
          </w:tcPr>
          <w:p w:rsidR="0092071F" w:rsidRPr="005F3776" w:rsidRDefault="0092071F" w:rsidP="00904C07">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Pr="001C0F14">
              <w:rPr>
                <w:b w:val="0"/>
              </w:rPr>
              <w:t xml:space="preserve">better granularity </w:t>
            </w:r>
            <w:r>
              <w:rPr>
                <w:b w:val="0"/>
              </w:rPr>
              <w:t xml:space="preserve">in a timely manner but noisier </w:t>
            </w:r>
            <w:r w:rsidRPr="001C0F14">
              <w:rPr>
                <w:b w:val="0"/>
              </w:rPr>
              <w:t>than CDC data.</w:t>
            </w:r>
          </w:p>
        </w:tc>
      </w:tr>
      <w:tr w:rsidR="0092071F" w:rsidTr="00904C07">
        <w:trPr>
          <w:cnfStyle w:val="000000010000"/>
        </w:trPr>
        <w:tc>
          <w:tcPr>
            <w:cnfStyle w:val="001000000000"/>
            <w:tcW w:w="9576" w:type="dxa"/>
          </w:tcPr>
          <w:p w:rsidR="0092071F" w:rsidRDefault="0092071F" w:rsidP="00904C07">
            <w:pPr>
              <w:rPr>
                <w:b w:val="0"/>
              </w:rPr>
            </w:pPr>
            <w:r>
              <w:rPr>
                <w:b w:val="0"/>
              </w:rPr>
              <w:t>Flu Vaccination Data of Medicare Recipients</w:t>
            </w:r>
          </w:p>
        </w:tc>
      </w:tr>
      <w:tr w:rsidR="0092071F" w:rsidTr="00904C07">
        <w:trPr>
          <w:cnfStyle w:val="000000100000"/>
        </w:trPr>
        <w:tc>
          <w:tcPr>
            <w:cnfStyle w:val="001000000000"/>
            <w:tcW w:w="9576" w:type="dxa"/>
          </w:tcPr>
          <w:p w:rsidR="0092071F" w:rsidRPr="00470038" w:rsidRDefault="0092071F" w:rsidP="00904C07">
            <w:pPr>
              <w:rPr>
                <w:b w:val="0"/>
                <w:u w:val="single"/>
              </w:rPr>
            </w:pPr>
            <w:r>
              <w:rPr>
                <w:b w:val="0"/>
              </w:rPr>
              <w:t xml:space="preserve">People receiving flu vaccines lower the percentage of population susceptible to flu, or have milder symptoms when they are infected with flu viruses, which in turn reduce reported ILI cases. Hence, the </w:t>
            </w:r>
            <w:r>
              <w:rPr>
                <w:b w:val="0"/>
              </w:rPr>
              <w:lastRenderedPageBreak/>
              <w:t xml:space="preserve">flu vaccination data may have strong predictive power for future ILI cases. This dataset contains weekly cumulative percentages of Medicare recipients filing </w:t>
            </w:r>
            <w:r w:rsidRPr="0039450D">
              <w:rPr>
                <w:b w:val="0"/>
              </w:rPr>
              <w:t xml:space="preserve">flu vaccination claims </w:t>
            </w:r>
            <w:r>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trPr>
        <w:tc>
          <w:tcPr>
            <w:cnfStyle w:val="00100000000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trPr>
        <w:tc>
          <w:tcPr>
            <w:cnfStyle w:val="001000000000"/>
            <w:tcW w:w="9576" w:type="dxa"/>
          </w:tcPr>
          <w:p w:rsidR="0092071F" w:rsidRPr="00DC5D62" w:rsidRDefault="0092071F" w:rsidP="00904C07">
            <w:pPr>
              <w:rPr>
                <w:b w:val="0"/>
                <w:u w:val="single"/>
              </w:rPr>
            </w:pPr>
            <w:r w:rsidRPr="00231D7B">
              <w:rPr>
                <w:b w:val="0"/>
              </w:rPr>
              <w:t>In addition to the</w:t>
            </w:r>
            <w:r>
              <w:rPr>
                <w:b w:val="0"/>
              </w:rPr>
              <w:t xml:space="preserve"> ILINet data, CDC also aggregates to HHS regions weekly percentage and number</w:t>
            </w:r>
            <w:r w:rsidRPr="006E3505">
              <w:rPr>
                <w:b w:val="0"/>
              </w:rPr>
              <w:t xml:space="preserve"> of respiratory specimens tested </w:t>
            </w:r>
            <w:r>
              <w:rPr>
                <w:b w:val="0"/>
              </w:rPr>
              <w:t xml:space="preserve">positive for influenza and 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s. Since illness due to Type A and Type B flu virus may peak at different time during a winter, using this dataset may improve prediction of ILI rates.</w:t>
            </w:r>
          </w:p>
        </w:tc>
      </w:tr>
      <w:tr w:rsidR="0092071F" w:rsidTr="00904C07">
        <w:trPr>
          <w:cnfStyle w:val="000000010000"/>
        </w:trPr>
        <w:tc>
          <w:tcPr>
            <w:cnfStyle w:val="001000000000"/>
            <w:tcW w:w="9576" w:type="dxa"/>
          </w:tcPr>
          <w:p w:rsidR="0092071F" w:rsidRPr="00FA24FA" w:rsidRDefault="0092071F" w:rsidP="00904C07">
            <w:pPr>
              <w:spacing w:after="200" w:line="276" w:lineRule="auto"/>
              <w:rPr>
                <w:b w:val="0"/>
              </w:rPr>
            </w:pPr>
          </w:p>
        </w:tc>
      </w:tr>
      <w:tr w:rsidR="0092071F" w:rsidTr="00904C07">
        <w:trPr>
          <w:cnfStyle w:val="000000100000"/>
        </w:trPr>
        <w:tc>
          <w:tcPr>
            <w:cnfStyle w:val="001000000000"/>
            <w:tcW w:w="9576" w:type="dxa"/>
          </w:tcPr>
          <w:p w:rsidR="0092071F" w:rsidRPr="00231D7B" w:rsidRDefault="0092071F" w:rsidP="00904C07">
            <w:r w:rsidRPr="00231D7B">
              <w:t>Supporting Data</w:t>
            </w:r>
          </w:p>
        </w:tc>
      </w:tr>
      <w:tr w:rsidR="0092071F" w:rsidTr="00904C07">
        <w:trPr>
          <w:cnfStyle w:val="000000010000"/>
        </w:trPr>
        <w:tc>
          <w:tcPr>
            <w:cnfStyle w:val="001000000000"/>
            <w:tcW w:w="9576" w:type="dxa"/>
          </w:tcPr>
          <w:p w:rsidR="0092071F" w:rsidRDefault="0092071F" w:rsidP="00904C07">
            <w:pPr>
              <w:rPr>
                <w:b w:val="0"/>
              </w:rPr>
            </w:pPr>
            <w:r>
              <w:rPr>
                <w:b w:val="0"/>
              </w:rPr>
              <w:t>Twitter User Demographics</w:t>
            </w:r>
          </w:p>
        </w:tc>
      </w:tr>
      <w:tr w:rsidR="0092071F" w:rsidTr="00904C07">
        <w:trPr>
          <w:cnfStyle w:val="000000100000"/>
        </w:trPr>
        <w:tc>
          <w:tcPr>
            <w:cnfStyle w:val="001000000000"/>
            <w:tcW w:w="9576" w:type="dxa"/>
          </w:tcPr>
          <w:p w:rsidR="0092071F" w:rsidRDefault="0092071F" w:rsidP="00904C07">
            <w:pPr>
              <w:rPr>
                <w:b w:val="0"/>
              </w:rPr>
            </w:pPr>
            <w:r>
              <w:rPr>
                <w:b w:val="0"/>
              </w:rPr>
              <w:t xml:space="preserve">To account for the demographic difference of Twitter users from the general population, a study by Pew Research, which summarizes the demographics of Twitter users in terms of </w:t>
            </w:r>
            <w:r w:rsidRPr="00AE5C3E">
              <w:rPr>
                <w:b w:val="0"/>
              </w:rPr>
              <w:t>gender, race, education and income</w:t>
            </w:r>
            <w:r>
              <w:rPr>
                <w:b w:val="0"/>
              </w:rPr>
              <w:t xml:space="preserve"> level, can be used. The demographic information can be used</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US Census</w:t>
            </w:r>
          </w:p>
        </w:tc>
      </w:tr>
      <w:tr w:rsidR="0092071F" w:rsidTr="00904C07">
        <w:trPr>
          <w:cnfStyle w:val="000000100000"/>
        </w:trPr>
        <w:tc>
          <w:tcPr>
            <w:cnfStyle w:val="00100000000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County Adjacency Data</w:t>
            </w:r>
          </w:p>
        </w:tc>
      </w:tr>
      <w:tr w:rsidR="0092071F" w:rsidTr="00904C07">
        <w:trPr>
          <w:cnfStyle w:val="000000100000"/>
        </w:trPr>
        <w:tc>
          <w:tcPr>
            <w:cnfStyle w:val="00100000000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 xml:space="preserve">Baseline </w:t>
      </w:r>
      <w:proofErr w:type="spellStart"/>
      <w:r w:rsidRPr="00563333">
        <w:t>Spatio</w:t>
      </w:r>
      <w:proofErr w:type="spellEnd"/>
      <w:r w:rsidRPr="00563333">
        <w:t>-temporal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ook w:val="04A0"/>
      </w:tblPr>
      <w:tblGrid>
        <w:gridCol w:w="2988"/>
        <w:gridCol w:w="6588"/>
      </w:tblGrid>
      <w:tr w:rsidR="007A68B8" w:rsidRPr="00AE425D" w:rsidTr="00E30570">
        <w:trPr>
          <w:cnfStyle w:val="100000000000"/>
          <w:trHeight w:val="367"/>
        </w:trPr>
        <w:tc>
          <w:tcPr>
            <w:cnfStyle w:val="001000000000"/>
            <w:tcW w:w="2988" w:type="dxa"/>
            <w:shd w:val="clear" w:color="auto" w:fill="EAF1DD" w:themeFill="accent3" w:themeFillTint="33"/>
          </w:tcPr>
          <w:p w:rsidR="007A68B8" w:rsidRDefault="007A68B8" w:rsidP="00E30570">
            <w:pPr>
              <w:spacing w:line="360" w:lineRule="auto"/>
            </w:pPr>
            <w:r>
              <w:t>County ILI Rate Model</w:t>
            </w:r>
          </w:p>
        </w:tc>
        <w:tc>
          <w:tcPr>
            <w:tcW w:w="6588" w:type="dxa"/>
            <w:vAlign w:val="center"/>
          </w:tcPr>
          <w:p w:rsidR="0099594E" w:rsidRDefault="00BE4DE3" w:rsidP="008778B0">
            <w:pPr>
              <w:spacing w:line="360" w:lineRule="auto"/>
              <w:cnfStyle w:val="100000000000"/>
              <w:rPr>
                <w:b w:val="0"/>
              </w:rPr>
            </w:pPr>
            <m:oMathPara>
              <m:oMathParaPr>
                <m:jc m:val="left"/>
              </m:oMathParaPr>
              <m:oMath>
                <m:r>
                  <m:rPr>
                    <m:sty m:val="p"/>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sSub>
                  <m:sSubPr>
                    <m:ctrlPr>
                      <w:rPr>
                        <w:rFonts w:ascii="Cambria Math" w:hAnsi="Cambria Math"/>
                        <w:b w:val="0"/>
                        <w:bCs w:val="0"/>
                        <w:i/>
                      </w:rPr>
                    </m:ctrlPr>
                  </m:sSubPr>
                  <m:e>
                    <m:r>
                      <w:rPr>
                        <w:rFonts w:ascii="Cambria Math" w:hAnsi="Cambria Math"/>
                      </w:rPr>
                      <m:t>0&lt;ϵ</m:t>
                    </m:r>
                  </m:e>
                  <m:sub>
                    <m:r>
                      <w:rPr>
                        <w:rFonts w:ascii="Cambria Math" w:hAnsi="Cambria Math"/>
                      </w:rPr>
                      <m:t>1</m:t>
                    </m:r>
                  </m:sub>
                </m:sSub>
                <m:r>
                  <w:rPr>
                    <w:rFonts w:ascii="Cambria Math" w:hAnsi="Cambria Math"/>
                  </w:rPr>
                  <m:t>≪</m:t>
                </m:r>
                <m:r>
                  <w:rPr>
                    <w:rFonts w:ascii="Cambria Math" w:hAnsi="Cambria Math"/>
                  </w:rPr>
                  <m:t>1</m:t>
                </m:r>
              </m:oMath>
            </m:oMathPara>
          </w:p>
          <w:p w:rsidR="00F55567" w:rsidRDefault="00F55567" w:rsidP="00A70D1E">
            <w:pPr>
              <w:spacing w:line="360" w:lineRule="auto"/>
              <w:jc w:val="right"/>
              <w:cnfStyle w:val="100000000000"/>
              <w:rPr>
                <w:b w:val="0"/>
              </w:rPr>
            </w:pPr>
            <w:r w:rsidRPr="00A70D1E">
              <w:rPr>
                <w:b w:val="0"/>
                <w:i/>
              </w:rPr>
              <w:t>c</w:t>
            </w:r>
            <w:r>
              <w:rPr>
                <w:b w:val="0"/>
              </w:rPr>
              <w:t xml:space="preserve">: county index; </w:t>
            </w:r>
            <w:r w:rsidRPr="00A70D1E">
              <w:rPr>
                <w:b w:val="0"/>
                <w:i/>
              </w:rPr>
              <w:t>t</w:t>
            </w:r>
            <w:r>
              <w:rPr>
                <w:b w:val="0"/>
              </w:rPr>
              <w:t>: week index</w:t>
            </w:r>
          </w:p>
          <w:p w:rsidR="00A70D1E" w:rsidRPr="00A70D1E" w:rsidRDefault="00A70D1E" w:rsidP="00A70D1E">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Pr>
                <w:b w:val="0"/>
              </w:rPr>
              <w:t xml:space="preserve"> : ILI rate (between 0 and 1) of county </w:t>
            </w:r>
            <w:r w:rsidRPr="00A70D1E">
              <w:rPr>
                <w:b w:val="0"/>
                <w:i/>
              </w:rPr>
              <w:t>c</w:t>
            </w:r>
            <w:r>
              <w:rPr>
                <w:b w:val="0"/>
              </w:rPr>
              <w:t xml:space="preserve"> in week </w:t>
            </w:r>
            <w:r w:rsidRPr="00A70D1E">
              <w:rPr>
                <w:b w:val="0"/>
                <w:i/>
              </w:rPr>
              <w:t>t</w:t>
            </w:r>
          </w:p>
        </w:tc>
      </w:tr>
      <w:tr w:rsidR="007A68B8" w:rsidRPr="00AE425D" w:rsidTr="00E30570">
        <w:trPr>
          <w:cnfStyle w:val="000000100000"/>
          <w:trHeight w:val="367"/>
        </w:trPr>
        <w:tc>
          <w:tcPr>
            <w:cnfStyle w:val="001000000000"/>
            <w:tcW w:w="2988" w:type="dxa"/>
          </w:tcPr>
          <w:p w:rsidR="007A68B8" w:rsidRDefault="00662D5F" w:rsidP="00E30570">
            <w:pPr>
              <w:spacing w:line="360" w:lineRule="auto"/>
            </w:pPr>
            <w:r>
              <w:t>Observation</w:t>
            </w:r>
          </w:p>
        </w:tc>
        <w:tc>
          <w:tcPr>
            <w:tcW w:w="6588" w:type="dxa"/>
            <w:vAlign w:val="center"/>
          </w:tcPr>
          <w:p w:rsidR="007A68B8" w:rsidRDefault="00330FBC" w:rsidP="007F11DC">
            <w:pPr>
              <w:spacing w:line="360" w:lineRule="auto"/>
              <w:cnfStyle w:val="00000010000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rPr>
                <w:bCs/>
              </w:rPr>
            </w:pPr>
          </w:p>
          <w:p w:rsidR="00B971E2" w:rsidRDefault="00B971E2" w:rsidP="00AA3D41">
            <w:pPr>
              <w:spacing w:line="360" w:lineRule="auto"/>
              <w:cnfStyle w:val="00000010000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w:proofErr w:type="spellStart"/>
            <w:r w:rsidR="00CF1678">
              <w:rPr>
                <w:bCs/>
              </w:rPr>
              <w:t>i</w:t>
            </w:r>
            <w:proofErr w:type="spellEnd"/>
            <w:r w:rsidR="0027095D">
              <w:rPr>
                <w:bCs/>
              </w:rPr>
              <w:t xml:space="preserve">; the area can be a HHS Region, a state or a district </w:t>
            </w:r>
            <w:r w:rsidR="0027095D">
              <w:rPr>
                <w:bCs/>
              </w:rPr>
              <w:lastRenderedPageBreak/>
              <w:t>in a state</w:t>
            </w:r>
          </w:p>
          <w:p w:rsidR="00A70D1E" w:rsidRPr="00A70D1E" w:rsidRDefault="00A70D1E" w:rsidP="00AA3D41">
            <w:pPr>
              <w:spacing w:line="360" w:lineRule="auto"/>
              <w:cnfStyle w:val="00000010000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t xml:space="preserve"> : ILI rate of HHS Region </w:t>
            </w:r>
            <w:proofErr w:type="spellStart"/>
            <w:r w:rsidRPr="00A70D1E">
              <w:rPr>
                <w:i/>
              </w:rPr>
              <w:t>i</w:t>
            </w:r>
            <w:proofErr w:type="spellEnd"/>
            <w:r>
              <w:t xml:space="preserve"> in week </w:t>
            </w:r>
            <w:r w:rsidRPr="00A70D1E">
              <w:rPr>
                <w:i/>
              </w:rPr>
              <w:t>t</w:t>
            </w:r>
          </w:p>
          <w:p w:rsidR="00AA3D41" w:rsidRDefault="00330FBC" w:rsidP="00AA3D41">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330FBC" w:rsidP="00A70D1E">
            <w:pPr>
              <w:spacing w:line="360" w:lineRule="auto"/>
              <w:cnfStyle w:val="00000010000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area</w:t>
            </w:r>
            <w:r w:rsidR="00614CFF">
              <w:t xml:space="preserve"> </w:t>
            </w:r>
            <w:proofErr w:type="spellStart"/>
            <w:r w:rsidR="00A70D1E" w:rsidRPr="00A70D1E">
              <w:rPr>
                <w:i/>
              </w:rPr>
              <w:t>i</w:t>
            </w:r>
            <w:proofErr w:type="spellEnd"/>
          </w:p>
        </w:tc>
      </w:tr>
      <w:tr w:rsidR="005A2F4C" w:rsidRPr="00AE425D" w:rsidTr="00E30570">
        <w:trPr>
          <w:trHeight w:val="367"/>
        </w:trPr>
        <w:tc>
          <w:tcPr>
            <w:cnfStyle w:val="001000000000"/>
            <w:tcW w:w="2988" w:type="dxa"/>
          </w:tcPr>
          <w:p w:rsidR="005A2F4C" w:rsidRDefault="00A56847" w:rsidP="00E30570">
            <w:pPr>
              <w:spacing w:line="360" w:lineRule="auto"/>
            </w:pPr>
            <w:proofErr w:type="spellStart"/>
            <w:r>
              <w:lastRenderedPageBreak/>
              <w:t>Spatio</w:t>
            </w:r>
            <w:proofErr w:type="spellEnd"/>
            <w:r>
              <w:t>-temporal correlation</w:t>
            </w:r>
          </w:p>
        </w:tc>
        <w:tc>
          <w:tcPr>
            <w:tcW w:w="6588" w:type="dxa"/>
            <w:vAlign w:val="center"/>
          </w:tcPr>
          <w:p w:rsidR="005A2F4C" w:rsidRDefault="00A56847" w:rsidP="00A56847">
            <w:pPr>
              <w:spacing w:line="360" w:lineRule="auto"/>
              <w:cnfStyle w:val="00000000000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pPr>
          </w:p>
          <w:p w:rsidR="000D5C01" w:rsidRDefault="00052F2A" w:rsidP="00052F2A">
            <w:pPr>
              <w:spacing w:line="360" w:lineRule="auto"/>
              <w:cnfStyle w:val="00000000000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330FBC" w:rsidP="008F3D6C">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m:t>
                </m:r>
                <m:r>
                  <m:rPr>
                    <m:nor/>
                  </m:rPr>
                  <w:rPr>
                    <w:rFonts w:ascii="Cambria Math" w:hAnsi="Cambria Math"/>
                  </w:rPr>
                  <m:t>sparse symmetric</m:t>
                </m:r>
                <m:r>
                  <m:rPr>
                    <m:nor/>
                  </m:rPr>
                  <w:rPr>
                    <w:rFonts w:ascii="Cambria Math" w:hAnsi="Cambria Math"/>
                  </w:rPr>
                  <m:t xml:space="preserve"> matrix </m:t>
                </m:r>
              </m:oMath>
            </m:oMathPara>
          </w:p>
          <w:p w:rsidR="00633A43" w:rsidRDefault="007F50D6" w:rsidP="00633A43">
            <w:pPr>
              <w:spacing w:line="360" w:lineRule="auto"/>
              <w:cnfStyle w:val="000000000000"/>
            </w:pPr>
            <w:r>
              <w:t xml:space="preserve">The elements of </w:t>
            </w:r>
            <w:r w:rsidRPr="007F50D6">
              <w:rPr>
                <w:rFonts w:asciiTheme="majorHAnsi" w:hAnsiTheme="majorHAnsi"/>
                <w:i/>
              </w:rPr>
              <w:t>W</w:t>
            </w:r>
            <w:r w:rsidR="00985C46">
              <w:t xml:space="preserve"> are</w:t>
            </w:r>
            <w:r>
              <w:t xml:space="preserve"> defined as</w:t>
            </w:r>
          </w:p>
          <w:p w:rsidR="005A47E1" w:rsidRDefault="00330FBC" w:rsidP="00633A43">
            <w:pPr>
              <w:spacing w:line="360" w:lineRule="auto"/>
              <w:cnfStyle w:val="00000000000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 xml:space="preserve">=ρ,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e>
                            </m:mr>
                          </m:m>
                        </m:e>
                        <m:e>
                          <m:m>
                            <m:mPr>
                              <m:cGp m:val="8"/>
                              <m:mcs>
                                <m:mc>
                                  <m:mcPr>
                                    <m:count m:val="1"/>
                                    <m:mcJc m:val="left"/>
                                  </m:mcPr>
                                </m:mc>
                              </m:mcs>
                              <m:ctrlPr>
                                <w:rPr>
                                  <w:rFonts w:ascii="Cambria Math" w:hAnsi="Cambria Math"/>
                                  <w:i/>
                                </w:rPr>
                              </m:ctrlPr>
                            </m:mPr>
                            <m:mr>
                              <m:e>
                                <m:r>
                                  <w:rPr>
                                    <w:rFonts w:ascii="Cambria Math" w:hAnsi="Cambria Math"/>
                                  </w:rPr>
                                  <m:t xml:space="preserve">       j=t-1  </m:t>
                                </m:r>
                                <m:r>
                                  <m:rPr>
                                    <m:sty m:val="p"/>
                                  </m:rPr>
                                  <w:rPr>
                                    <w:rFonts w:ascii="Cambria Math" w:hAnsi="Cambria Math"/>
                                  </w:rPr>
                                  <m:t>or</m:t>
                                </m:r>
                                <m:r>
                                  <w:rPr>
                                    <w:rFonts w:ascii="Cambria Math" w:hAnsi="Cambria Math"/>
                                  </w:rPr>
                                  <m:t xml:space="preserve">  t+1</m:t>
                                </m:r>
                              </m:e>
                            </m:mr>
                            <m:mr>
                              <m:e>
                                <m:r>
                                  <w:rPr>
                                    <w:rFonts w:ascii="Cambria Math" w:hAnsi="Cambria Math"/>
                                  </w:rPr>
                                  <m:t xml:space="preserve">       i </m:t>
                                </m:r>
                                <m:r>
                                  <m:rPr>
                                    <m:nor/>
                                  </m:rPr>
                                  <w:rPr>
                                    <w:rFonts w:ascii="Cambria Math" w:hAnsi="Cambria Math"/>
                                  </w:rPr>
                                  <m:t xml:space="preserve"> is a neighboring county of </m:t>
                                </m:r>
                                <m:r>
                                  <w:rPr>
                                    <w:rFonts w:ascii="Cambria Math" w:hAnsi="Cambria Math"/>
                                  </w:rPr>
                                  <m:t>c</m:t>
                                </m:r>
                              </m:e>
                            </m:mr>
                            <m:mr>
                              <m:e>
                                <m:r>
                                  <m:rPr>
                                    <m:nor/>
                                  </m:rPr>
                                  <w:rPr>
                                    <w:rFonts w:ascii="Cambria Math" w:hAnsi="Cambria Math"/>
                                  </w:rPr>
                                  <m:t xml:space="preserve">       Otherwise</m:t>
                                </m:r>
                              </m:e>
                            </m:mr>
                          </m:m>
                        </m:e>
                      </m:mr>
                    </m:m>
                  </m:e>
                </m:d>
              </m:oMath>
            </m:oMathPara>
          </w:p>
          <w:p w:rsidR="007F50D6" w:rsidRDefault="007F50D6" w:rsidP="00633A43">
            <w:pPr>
              <w:spacing w:line="360" w:lineRule="auto"/>
              <w:cnfStyle w:val="00000000000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proofErr w:type="spellStart"/>
            <w:r>
              <w:rPr>
                <w:rFonts w:asciiTheme="majorHAnsi" w:hAnsiTheme="majorHAnsi"/>
                <w:i/>
              </w:rPr>
              <w:t>i</w:t>
            </w:r>
            <w:proofErr w:type="spellEnd"/>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The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p>
          <w:p w:rsidR="00985C46" w:rsidRDefault="00330FBC" w:rsidP="00633A43">
            <w:pPr>
              <w:spacing w:line="360" w:lineRule="auto"/>
              <w:cnfStyle w:val="00000000000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45701E" w:rsidP="00633A43">
            <w:pPr>
              <w:spacing w:line="360" w:lineRule="auto"/>
              <w:cnfStyle w:val="0000000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t xml:space="preserve"> : precision (inverse variance) that controls </w:t>
            </w:r>
            <w:proofErr w:type="spellStart"/>
            <w:r w:rsidR="00F61C35">
              <w:t>spatio</w:t>
            </w:r>
            <w:proofErr w:type="spellEnd"/>
            <w:r w:rsidR="00F61C35">
              <w:t>-temporal correlations (smoothness) of ILI rates</w:t>
            </w:r>
          </w:p>
        </w:tc>
      </w:tr>
      <w:tr w:rsidR="005A47E1" w:rsidRPr="00AE425D" w:rsidTr="00E30570">
        <w:trPr>
          <w:cnfStyle w:val="000000100000"/>
          <w:trHeight w:val="367"/>
        </w:trPr>
        <w:tc>
          <w:tcPr>
            <w:cnfStyle w:val="001000000000"/>
            <w:tcW w:w="2988" w:type="dxa"/>
          </w:tcPr>
          <w:p w:rsidR="005A47E1" w:rsidRDefault="002C7D20" w:rsidP="00E30570">
            <w:pPr>
              <w:spacing w:line="360" w:lineRule="auto"/>
            </w:pPr>
            <w:r>
              <w:t>Covariates</w:t>
            </w:r>
          </w:p>
        </w:tc>
        <w:tc>
          <w:tcPr>
            <w:tcW w:w="6588" w:type="dxa"/>
            <w:vAlign w:val="center"/>
          </w:tcPr>
          <w:p w:rsidR="005A47E1" w:rsidRDefault="00330FBC" w:rsidP="001008C4">
            <w:pPr>
              <w:spacing w:line="360" w:lineRule="auto"/>
              <w:cnfStyle w:val="00000010000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pPr>
          </w:p>
          <w:p w:rsidR="002E5CE7" w:rsidRDefault="00330FBC" w:rsidP="001008C4">
            <w:pPr>
              <w:spacing w:line="360" w:lineRule="auto"/>
              <w:cnfStyle w:val="00000010000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 related tweets from county </w:t>
            </w:r>
            <w:r w:rsidR="002E5CE7" w:rsidRPr="002E5CE7">
              <w:rPr>
                <w:i/>
              </w:rPr>
              <w:t>c</w:t>
            </w:r>
            <w:r w:rsidR="002E5CE7">
              <w:t xml:space="preserve"> in week </w:t>
            </w:r>
            <w:r w:rsidR="002E5CE7" w:rsidRPr="002E5CE7">
              <w:rPr>
                <w:i/>
              </w:rPr>
              <w:t>t</w:t>
            </w:r>
            <w:r w:rsidR="002E5CE7">
              <w:t>.</w:t>
            </w:r>
          </w:p>
          <w:p w:rsidR="002E5CE7" w:rsidRDefault="00330FBC" w:rsidP="001008C4">
            <w:pPr>
              <w:spacing w:line="360" w:lineRule="auto"/>
              <w:cnfStyle w:val="00000010000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330FBC" w:rsidP="001008C4">
            <w:pPr>
              <w:spacing w:line="360" w:lineRule="auto"/>
              <w:cnfStyle w:val="00000010000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330FBC" w:rsidP="001008C4">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rsidR="00A34D87" w:rsidRDefault="00330FBC" w:rsidP="001008C4">
            <w:pPr>
              <w:spacing w:line="360" w:lineRule="auto"/>
              <w:cnfStyle w:val="00000010000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rsidR="002E5CE7" w:rsidRDefault="00330FBC" w:rsidP="008778B0">
            <w:pPr>
              <w:spacing w:line="360" w:lineRule="auto"/>
              <w:cnfStyle w:val="000000100000"/>
            </w:pPr>
            <m:oMathPara>
              <m:oMathParaPr>
                <m:jc m:val="left"/>
              </m:oMathParaPr>
              <m:oMath>
                <m:sSub>
                  <m:sSubPr>
                    <m:ctrlPr>
                      <w:rPr>
                        <w:rFonts w:ascii="Cambria Math" w:hAnsi="Cambria Math"/>
                        <w:i/>
                      </w:rPr>
                    </m:ctrlPr>
                  </m:sSubPr>
                  <m:e>
                    <m:r>
                      <w:rPr>
                        <w:rFonts w:ascii="Cambria Math" w:hAnsi="Cambria Math"/>
                      </w:rPr>
                      <m:t>0&lt;ϵ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≪1</m:t>
                </m:r>
              </m:oMath>
            </m:oMathPara>
          </w:p>
        </w:tc>
      </w:tr>
      <w:tr w:rsidR="00601340" w:rsidRPr="00AE425D" w:rsidTr="00E30570">
        <w:trPr>
          <w:trHeight w:val="367"/>
        </w:trPr>
        <w:tc>
          <w:tcPr>
            <w:cnfStyle w:val="001000000000"/>
            <w:tcW w:w="2988" w:type="dxa"/>
          </w:tcPr>
          <w:p w:rsidR="00601340" w:rsidRDefault="00601340" w:rsidP="00E30570">
            <w:pPr>
              <w:spacing w:line="360" w:lineRule="auto"/>
            </w:pPr>
            <w:r>
              <w:t>County heterogeneity</w:t>
            </w:r>
          </w:p>
        </w:tc>
        <w:tc>
          <w:tcPr>
            <w:tcW w:w="6588" w:type="dxa"/>
            <w:vAlign w:val="center"/>
          </w:tcPr>
          <w:p w:rsidR="00601340" w:rsidRPr="00601340" w:rsidRDefault="00330FBC" w:rsidP="00BB3AED">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rsidTr="00E30570">
        <w:trPr>
          <w:cnfStyle w:val="000000100000"/>
          <w:trHeight w:val="367"/>
        </w:trPr>
        <w:tc>
          <w:tcPr>
            <w:cnfStyle w:val="001000000000"/>
            <w:tcW w:w="2988" w:type="dxa"/>
          </w:tcPr>
          <w:p w:rsidR="00BB3AED" w:rsidRDefault="00BB3AED" w:rsidP="00E30570">
            <w:pPr>
              <w:spacing w:line="360" w:lineRule="auto"/>
            </w:pPr>
            <w:proofErr w:type="spellStart"/>
            <w:r>
              <w:t>Hyperprior</w:t>
            </w:r>
            <w:proofErr w:type="spellEnd"/>
          </w:p>
        </w:tc>
        <w:tc>
          <w:tcPr>
            <w:tcW w:w="6588" w:type="dxa"/>
            <w:vAlign w:val="center"/>
          </w:tcPr>
          <w:p w:rsidR="00BE4DE3" w:rsidRDefault="00BE4DE3" w:rsidP="00BB3AED">
            <w:pPr>
              <w:spacing w:line="360" w:lineRule="auto"/>
              <w:cnfStyle w:val="000000100000"/>
            </w:pPr>
            <m:oMath>
              <m:r>
                <w:rPr>
                  <w:rFonts w:ascii="Cambria Math" w:hAnsi="Cambria Math"/>
                </w:rPr>
                <m:t>β</m:t>
              </m:r>
            </m:oMath>
            <w:r w:rsidR="00982882">
              <w:t xml:space="preserve">  ~ Normal distribution</w:t>
            </w:r>
          </w:p>
          <w:p w:rsidR="00BB3AED" w:rsidRDefault="00330FBC" w:rsidP="00BB3AED">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Gamma distribution</w:t>
            </w:r>
          </w:p>
          <w:p w:rsidR="00C43620" w:rsidRDefault="00330FBC" w:rsidP="00C43620">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Gamma distribution</w:t>
            </w:r>
          </w:p>
          <w:p w:rsidR="00C43620" w:rsidRPr="005A2F4C" w:rsidRDefault="00C43620" w:rsidP="00BB3AED">
            <w:pPr>
              <w:spacing w:line="360" w:lineRule="auto"/>
              <w:cnfStyle w:val="000000100000"/>
              <w:rPr>
                <w:b/>
              </w:rPr>
            </w:pPr>
            <m:oMath>
              <m:r>
                <w:rPr>
                  <w:rFonts w:ascii="Cambria Math" w:hAnsi="Cambria Math"/>
                </w:rPr>
                <m:t xml:space="preserve">ρ </m:t>
              </m:r>
            </m:oMath>
            <w:r>
              <w:t xml:space="preserve"> ~ Gamma distribution</w:t>
            </w:r>
          </w:p>
        </w:tc>
      </w:tr>
    </w:tbl>
    <w:p w:rsidR="00055923" w:rsidRDefault="00055923" w:rsidP="00055923"/>
    <w:p w:rsidR="00055923" w:rsidRDefault="00055923" w:rsidP="00055923">
      <w:pPr>
        <w:pStyle w:val="Heading1"/>
      </w:pPr>
      <w:r>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Pr>
          <w:rFonts w:eastAsiaTheme="minorEastAsia"/>
        </w:rPr>
        <w:t xml:space="preserve"> (</w:t>
      </w:r>
      <w:r>
        <w:t>number of flu related tweets)</w:t>
      </w:r>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Pr>
          <w:rFonts w:eastAsiaTheme="minorEastAsia"/>
        </w:rPr>
        <w:t xml:space="preserve"> (</w:t>
      </w:r>
      <w:r>
        <w:t>cumulative percentage</w:t>
      </w:r>
      <w:r w:rsidRPr="002E5CE7">
        <w:t xml:space="preserve"> of Medicare</w:t>
      </w:r>
      <w:r>
        <w:t xml:space="preserve"> flu vaccination claims)</w:t>
      </w:r>
      <w:r>
        <w:rPr>
          <w:rFonts w:eastAsiaTheme="minorEastAsia"/>
        </w:rPr>
        <w:t xml:space="preserve"> of every county and</w:t>
      </w:r>
      <w:r w:rsidR="003E535A">
        <w:rPr>
          <w:rFonts w:eastAsiaTheme="minorEastAsia"/>
        </w:rPr>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rPr>
          <w:rFonts w:eastAsiaTheme="minorEastAsia"/>
        </w:rPr>
        <w:t xml:space="preserve"> (ILI rates) of every HHS region, output MAP estimate for weekly ILI rate</w:t>
      </w:r>
      <w:r w:rsidR="00171F56">
        <w:rPr>
          <w:rFonts w:eastAsiaTheme="minorEastAsia"/>
        </w:rPr>
        <w:t>s</w:t>
      </w:r>
      <w:r w:rsidR="003E535A">
        <w:rPr>
          <w:rFonts w:eastAsiaTheme="minorEastAsia"/>
        </w:rPr>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rPr>
          <w:rFonts w:eastAsiaTheme="minorEastAsia"/>
        </w:rPr>
        <w:t xml:space="preserve"> of individual </w:t>
      </w:r>
      <w:r w:rsidR="00071942">
        <w:rPr>
          <w:rFonts w:eastAsiaTheme="minorEastAsia"/>
        </w:rPr>
        <w:t>counties</w:t>
      </w:r>
      <w:r w:rsidR="003E535A">
        <w:rPr>
          <w:rFonts w:eastAsiaTheme="minorEastAsia"/>
        </w:rPr>
        <w:t xml:space="preserve"> in Tennessee and Mississippi</w:t>
      </w:r>
      <w:r w:rsidR="00171F56">
        <w:rPr>
          <w:rFonts w:eastAsiaTheme="minorEastAsia"/>
        </w:rPr>
        <w:t xml:space="preserve"> and of select states (</w:t>
      </w:r>
      <w:r w:rsidR="00171F56">
        <w:rPr>
          <w:rFonts w:eastAsia="Times New Roman"/>
        </w:rPr>
        <w:t>Maryland, 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rPr>
          <w:rFonts w:eastAsiaTheme="minorEastAsia"/>
        </w:rPr>
        <w:t xml:space="preserve"> </w:t>
      </w:r>
      <w:r w:rsidR="00302EB3">
        <w:rPr>
          <w:rFonts w:eastAsiaTheme="minorEastAsia"/>
        </w:rPr>
        <w:t>(</w:t>
      </w:r>
      <w:r w:rsidR="00302EB3">
        <w:t xml:space="preserve">number of flu related tweets) </w:t>
      </w:r>
      <w:r w:rsidR="00E34E17">
        <w:rPr>
          <w:rFonts w:eastAsiaTheme="minorEastAsia"/>
        </w:rPr>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rPr>
          <w:rFonts w:eastAsiaTheme="minorEastAsia"/>
        </w:rPr>
        <w:t xml:space="preserve"> </w:t>
      </w:r>
      <w:r w:rsidR="00302EB3">
        <w:rPr>
          <w:rFonts w:eastAsiaTheme="minorEastAsia"/>
        </w:rPr>
        <w:t>(</w:t>
      </w:r>
      <w:r w:rsidR="00302EB3">
        <w:t>cumulative percentage</w:t>
      </w:r>
      <w:r w:rsidR="00302EB3" w:rsidRPr="002E5CE7">
        <w:t xml:space="preserve"> of Medicare</w:t>
      </w:r>
      <w:r w:rsidR="00302EB3">
        <w:t xml:space="preserve"> flu vaccination claims)</w:t>
      </w:r>
      <w:r w:rsidR="00C13E46">
        <w:t xml:space="preserve"> </w:t>
      </w:r>
      <w:r w:rsidR="00E34E17">
        <w:rPr>
          <w:rFonts w:eastAsiaTheme="minorEastAsia"/>
        </w:rPr>
        <w:t>of every county</w:t>
      </w:r>
      <w:r w:rsidR="00C13E46">
        <w:rPr>
          <w:rFonts w:eastAsiaTheme="minorEastAsia"/>
        </w:rPr>
        <w:t xml:space="preserve"> for weeks t=1,…</w:t>
      </w:r>
      <w:proofErr w:type="gramStart"/>
      <w:r w:rsidR="00C13E46">
        <w:rPr>
          <w:rFonts w:eastAsiaTheme="minorEastAsia"/>
        </w:rPr>
        <w:t>,</w:t>
      </w:r>
      <w:r w:rsidR="00C13E46" w:rsidRPr="00C13E46">
        <w:rPr>
          <w:rFonts w:ascii="Times New Roman" w:eastAsiaTheme="minorEastAsia" w:hAnsi="Times New Roman" w:cs="Times New Roman"/>
          <w:i/>
        </w:rPr>
        <w:t>u</w:t>
      </w:r>
      <w:proofErr w:type="gramEnd"/>
      <w:r w:rsidR="00E34E17">
        <w:rPr>
          <w:rFonts w:eastAsiaTheme="minorEastAsia"/>
        </w:rPr>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rPr>
          <w:rFonts w:eastAsiaTheme="minorEastAsia"/>
        </w:rPr>
        <w:t xml:space="preserve"> (ILI rates) of every HHS region</w:t>
      </w:r>
      <w:r w:rsidR="00C13E46">
        <w:rPr>
          <w:rFonts w:eastAsiaTheme="minorEastAsia"/>
        </w:rPr>
        <w:t xml:space="preserve"> for weeks t=1,…,</w:t>
      </w:r>
      <w:r w:rsidR="00C13E46" w:rsidRPr="00C13E46">
        <w:rPr>
          <w:rFonts w:ascii="Times New Roman" w:eastAsiaTheme="minorEastAsia" w:hAnsi="Times New Roman" w:cs="Times New Roman"/>
          <w:i/>
        </w:rPr>
        <w:t xml:space="preserve"> u</w:t>
      </w:r>
      <w:r w:rsidR="00C13E46">
        <w:rPr>
          <w:rFonts w:eastAsiaTheme="minorEastAsia"/>
        </w:rPr>
        <w:t xml:space="preserve"> -1, output MAP estimate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rPr>
          <w:rFonts w:eastAsiaTheme="minorEastAsia"/>
        </w:rPr>
        <w:t xml:space="preserve"> of individual</w:t>
      </w:r>
      <w:r w:rsidR="00071942">
        <w:rPr>
          <w:rFonts w:eastAsiaTheme="minorEastAsia"/>
        </w:rPr>
        <w:t xml:space="preserve"> counties</w:t>
      </w:r>
      <w:r w:rsidR="00C13E46">
        <w:rPr>
          <w:rFonts w:eastAsiaTheme="minorEastAsia"/>
        </w:rPr>
        <w:t xml:space="preserve"> in Tennessee and Mississippi and of select states (</w:t>
      </w:r>
      <w:r w:rsidR="00C13E46">
        <w:rPr>
          <w:rFonts w:eastAsia="Times New Roman"/>
        </w:rPr>
        <w:t>Maryland, North Carolina, Rhode Island and Texas).</w:t>
      </w:r>
    </w:p>
    <w:p w:rsidR="00B70E36" w:rsidRDefault="00B70E36" w:rsidP="00B70E36">
      <w:pPr>
        <w:pStyle w:val="Heading1"/>
      </w:pPr>
      <w:r>
        <w:t>Evaluation Metrics</w:t>
      </w:r>
    </w:p>
    <w:p w:rsidR="00B70E36" w:rsidRPr="00B70E36" w:rsidRDefault="00B70E36" w:rsidP="00B70E36">
      <w:pPr>
        <w:rPr>
          <w:color w:val="FF0000"/>
        </w:rPr>
      </w:pPr>
      <w:r w:rsidRPr="00B70E36">
        <w:rPr>
          <w:color w:val="FF0000"/>
        </w:rPr>
        <w:t>[Need to specify how performance will be evaluated]</w:t>
      </w:r>
    </w:p>
    <w:p w:rsidR="007C11BF" w:rsidRPr="007C11BF" w:rsidRDefault="002C15AC" w:rsidP="007C11BF">
      <w:pPr>
        <w:pStyle w:val="Heading1"/>
      </w:pPr>
      <w:r w:rsidRPr="002C15AC">
        <w:t>Input and Output Data Formats</w:t>
      </w:r>
    </w:p>
    <w:p w:rsidR="00E03A86" w:rsidRPr="007C11BF" w:rsidRDefault="00572C38" w:rsidP="007C11BF">
      <w:pPr>
        <w:spacing w:before="240"/>
        <w:rPr>
          <w:rFonts w:eastAsiaTheme="minorEastAsia"/>
          <w:b/>
        </w:rPr>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rFonts w:eastAsiaTheme="minorEastAsia"/>
          <w:b/>
        </w:rPr>
        <w:t xml:space="preserve"> 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rFonts w:eastAsiaTheme="minorEastAsia"/>
          <w:b/>
        </w:rPr>
        <w:t xml:space="preserve"> in CSV</w:t>
      </w:r>
    </w:p>
    <w:p w:rsidR="00572C38" w:rsidRDefault="007C11BF" w:rsidP="00E03A86">
      <w:r w:rsidRPr="007C11BF">
        <w:drawing>
          <wp:inline distT="0" distB="0" distL="0" distR="0">
            <wp:extent cx="4287203" cy="18735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287203" cy="1873567"/>
                    </a:xfrm>
                    <a:prstGeom prst="rect">
                      <a:avLst/>
                    </a:prstGeom>
                    <a:noFill/>
                    <a:ln w="9525">
                      <a:noFill/>
                      <a:miter lim="800000"/>
                      <a:headEnd/>
                      <a:tailEnd/>
                    </a:ln>
                  </pic:spPr>
                </pic:pic>
              </a:graphicData>
            </a:graphic>
          </wp:inline>
        </w:drawing>
      </w:r>
    </w:p>
    <w:p w:rsidR="007C11BF" w:rsidRPr="007C11BF" w:rsidRDefault="007C11BF" w:rsidP="00E03A86">
      <w:pPr>
        <w:rPr>
          <w:rFonts w:eastAsiaTheme="minorEastAsia"/>
          <w:b/>
        </w:rPr>
      </w:pPr>
      <w:r w:rsidRPr="007C11BF">
        <w:rPr>
          <w:b/>
        </w:rPr>
        <w:t>Input</w:t>
      </w:r>
      <w:r w:rsidR="00A43331">
        <w:rPr>
          <w:b/>
        </w:rPr>
        <w:t xml:space="preserve"> 2</w:t>
      </w:r>
      <w:r w:rsidRPr="007C11BF">
        <w:rPr>
          <w:b/>
        </w:rPr>
        <w:t xml:space="preserve">: </w:t>
      </w:r>
      <w:r w:rsidRPr="007C11BF">
        <w:rPr>
          <w:rFonts w:eastAsiaTheme="minorEastAsia"/>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rFonts w:eastAsiaTheme="minorEastAsia"/>
          <w:b/>
        </w:rPr>
        <w:t xml:space="preserve"> (ILI rates) of HHS Regions in CSV</w:t>
      </w:r>
    </w:p>
    <w:p w:rsidR="007C11BF" w:rsidRDefault="007C11BF" w:rsidP="00E03A86">
      <w:r w:rsidRPr="007C11BF">
        <w:lastRenderedPageBreak/>
        <w:drawing>
          <wp:inline distT="0" distB="0" distL="0" distR="0">
            <wp:extent cx="2546985" cy="2406968"/>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46985" cy="2406968"/>
                    </a:xfrm>
                    <a:prstGeom prst="rect">
                      <a:avLst/>
                    </a:prstGeom>
                    <a:noFill/>
                    <a:ln w="9525">
                      <a:noFill/>
                      <a:miter lim="800000"/>
                      <a:headEnd/>
                      <a:tailEnd/>
                    </a:ln>
                  </pic:spPr>
                </pic:pic>
              </a:graphicData>
            </a:graphic>
          </wp:inline>
        </w:drawing>
      </w:r>
    </w:p>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rFonts w:eastAsiaTheme="minorEastAsia"/>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rFonts w:eastAsiaTheme="minorEastAsia"/>
          <w:b/>
        </w:rPr>
        <w:t xml:space="preserve"> (ILI rates) of </w:t>
      </w:r>
      <w:r>
        <w:rPr>
          <w:rFonts w:eastAsiaTheme="minorEastAsia"/>
          <w:b/>
        </w:rPr>
        <w:t>individual counties</w:t>
      </w:r>
      <w:r w:rsidRPr="007C11BF">
        <w:rPr>
          <w:rFonts w:eastAsiaTheme="minorEastAsia"/>
          <w:b/>
        </w:rPr>
        <w:t xml:space="preserve"> </w:t>
      </w:r>
      <w:r>
        <w:rPr>
          <w:rFonts w:eastAsiaTheme="minorEastAsia"/>
          <w:b/>
        </w:rPr>
        <w:t xml:space="preserve">of select states </w:t>
      </w:r>
      <w:r w:rsidRPr="007C11BF">
        <w:rPr>
          <w:rFonts w:eastAsiaTheme="minorEastAsia"/>
          <w:b/>
        </w:rPr>
        <w:t>in CSV</w:t>
      </w:r>
    </w:p>
    <w:p w:rsidR="007C11BF" w:rsidRDefault="007C11BF" w:rsidP="00E03A86">
      <w:r w:rsidRPr="007C11BF">
        <w:drawing>
          <wp:inline distT="0" distB="0" distL="0" distR="0">
            <wp:extent cx="3267075" cy="214026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67075" cy="2140268"/>
                    </a:xfrm>
                    <a:prstGeom prst="rect">
                      <a:avLst/>
                    </a:prstGeom>
                    <a:noFill/>
                    <a:ln w="9525">
                      <a:noFill/>
                      <a:miter lim="800000"/>
                      <a:headEnd/>
                      <a:tailEnd/>
                    </a:ln>
                  </pic:spPr>
                </pic:pic>
              </a:graphicData>
            </a:graphic>
          </wp:inline>
        </w:drawing>
      </w:r>
    </w:p>
    <w:p w:rsidR="007C11BF" w:rsidRDefault="007C11BF" w:rsidP="007C11BF">
      <w:r w:rsidRPr="007C11BF">
        <w:rPr>
          <w:b/>
        </w:rPr>
        <w:t>Output</w:t>
      </w:r>
      <w:r w:rsidR="00A43331">
        <w:rPr>
          <w:b/>
        </w:rPr>
        <w:t xml:space="preserve"> 2</w:t>
      </w:r>
      <w:r w:rsidRPr="007C11BF">
        <w:rPr>
          <w:b/>
        </w:rPr>
        <w:t>:</w:t>
      </w:r>
      <w:r>
        <w:t xml:space="preserve"> </w:t>
      </w:r>
      <w:r w:rsidRPr="007C11BF">
        <w:rPr>
          <w:rFonts w:eastAsiaTheme="minorEastAsia"/>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rFonts w:eastAsiaTheme="minorEastAsia"/>
          <w:b/>
        </w:rPr>
        <w:t xml:space="preserve"> (ILI rates) of </w:t>
      </w:r>
      <w:proofErr w:type="spellStart"/>
      <w:r>
        <w:rPr>
          <w:rFonts w:eastAsiaTheme="minorEastAsia"/>
          <w:b/>
        </w:rPr>
        <w:t>of</w:t>
      </w:r>
      <w:proofErr w:type="spellEnd"/>
      <w:r>
        <w:rPr>
          <w:rFonts w:eastAsiaTheme="minorEastAsia"/>
          <w:b/>
        </w:rPr>
        <w:t xml:space="preserve"> select states </w:t>
      </w:r>
      <w:r w:rsidRPr="007C11BF">
        <w:rPr>
          <w:rFonts w:eastAsiaTheme="minorEastAsia"/>
          <w:b/>
        </w:rPr>
        <w:t>in CSV</w:t>
      </w:r>
    </w:p>
    <w:p w:rsidR="007C11BF" w:rsidRPr="00E03A86" w:rsidRDefault="007C11BF" w:rsidP="00E03A86">
      <w:r w:rsidRPr="007C11BF">
        <w:drawing>
          <wp:inline distT="0" distB="0" distL="0" distR="0">
            <wp:extent cx="2186940" cy="2006917"/>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86940" cy="2006917"/>
                    </a:xfrm>
                    <a:prstGeom prst="rect">
                      <a:avLst/>
                    </a:prstGeom>
                    <a:noFill/>
                    <a:ln w="9525">
                      <a:noFill/>
                      <a:miter lim="800000"/>
                      <a:headEnd/>
                      <a:tailEnd/>
                    </a:ln>
                  </pic:spPr>
                </pic:pic>
              </a:graphicData>
            </a:graphic>
          </wp:inline>
        </w:drawing>
      </w:r>
    </w:p>
    <w:sectPr w:rsidR="007C11BF" w:rsidRPr="00E03A86" w:rsidSect="00451F1E">
      <w:headerReference w:type="default" r:id="rId12"/>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49F" w:rsidRDefault="0050449F" w:rsidP="00F95E83">
      <w:pPr>
        <w:spacing w:after="0" w:line="240" w:lineRule="auto"/>
      </w:pPr>
      <w:r>
        <w:separator/>
      </w:r>
    </w:p>
  </w:endnote>
  <w:endnote w:type="continuationSeparator" w:id="0">
    <w:p w:rsidR="0050449F" w:rsidRDefault="0050449F"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49F" w:rsidRDefault="0050449F" w:rsidP="00F95E83">
      <w:pPr>
        <w:spacing w:after="0" w:line="240" w:lineRule="auto"/>
      </w:pPr>
      <w:r>
        <w:separator/>
      </w:r>
    </w:p>
  </w:footnote>
  <w:footnote w:type="continuationSeparator" w:id="0">
    <w:p w:rsidR="0050449F" w:rsidRDefault="0050449F" w:rsidP="00F95E83">
      <w:pPr>
        <w:spacing w:after="0" w:line="240" w:lineRule="auto"/>
      </w:pPr>
      <w:r>
        <w:continuationSeparator/>
      </w:r>
    </w:p>
  </w:footnote>
  <w:footnote w:id="1">
    <w:p w:rsidR="00572C38" w:rsidRDefault="00572C38">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572C38" w:rsidRDefault="00572C38">
        <w:pPr>
          <w:pStyle w:val="Header"/>
          <w:jc w:val="right"/>
        </w:pPr>
        <w:r>
          <w:rPr>
            <w:noProof/>
          </w:rPr>
          <w:pict>
            <v:group id="_x0000_s7172" style="position:absolute;left:0;text-align:left;margin-left:56.4pt;margin-top:20.1pt;width:104.7pt;height:21.9pt;z-index:-251657216;mso-position-horizontal-relative:page;mso-position-vertical-relative:page" coordsize="2094,438">
              <v:rect id="_x0000_s7173" style="position:absolute;width:2094;height:438" coordsize="21600,21600" stroked="f">
                <v:fill o:detectmouseclick="t"/>
                <v:stroke joinstyle="round"/>
                <v:path arrowok="t" o:connectlocs="10800,10800"/>
                <v:textbox style="mso-next-textbox:#_x0000_s7173" inset="0,0,0,0">
                  <w:txbxContent>
                    <w:p w:rsidR="00572C38" w:rsidRDefault="00572C38" w:rsidP="00F95E83">
                      <w:pPr>
                        <w:pStyle w:val="FreeFormA"/>
                        <w:rPr>
                          <w:rFonts w:eastAsia="Times New Roman"/>
                          <w:color w:val="auto"/>
                        </w:rPr>
                      </w:pPr>
                    </w:p>
                  </w:txbxContent>
                </v:textbox>
              </v:rect>
              <v:shape id="_x0000_s7174" style="position:absolute;width:2074;height:438" coordsize="21600,21600" o:spt="100" adj="0,,0" path="">
                <v:stroke joinstyle="round"/>
                <v:imagedata r:id="rId1" o:title=""/>
                <v:formulas/>
                <v:path o:connecttype="segments"/>
              </v:shape>
              <w10:wrap anchorx="page" anchory="page"/>
            </v:group>
          </w:pict>
        </w:r>
        <w:fldSimple w:instr=" PAGE   \* MERGEFORMAT ">
          <w:r w:rsidR="00B70E36">
            <w:rPr>
              <w:noProof/>
            </w:rPr>
            <w:t>5</w:t>
          </w:r>
        </w:fldSimple>
      </w:p>
    </w:sdtContent>
  </w:sdt>
  <w:p w:rsidR="00572C38" w:rsidRDefault="00572C38"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36866"/>
    <o:shapelayout v:ext="edit">
      <o:idmap v:ext="edit" data="7"/>
    </o:shapelayout>
  </w:hdrShapeDefaults>
  <w:footnotePr>
    <w:numFmt w:val="chicago"/>
    <w:footnote w:id="-1"/>
    <w:footnote w:id="0"/>
  </w:footnotePr>
  <w:endnotePr>
    <w:numFmt w:val="chicago"/>
    <w:endnote w:id="-1"/>
    <w:endnote w:id="0"/>
  </w:endnotePr>
  <w:compat/>
  <w:rsids>
    <w:rsidRoot w:val="00952C79"/>
    <w:rsid w:val="0000551D"/>
    <w:rsid w:val="000116A2"/>
    <w:rsid w:val="00033031"/>
    <w:rsid w:val="00052F2A"/>
    <w:rsid w:val="00055923"/>
    <w:rsid w:val="00060887"/>
    <w:rsid w:val="00067827"/>
    <w:rsid w:val="00071665"/>
    <w:rsid w:val="00071942"/>
    <w:rsid w:val="000750DE"/>
    <w:rsid w:val="00087D18"/>
    <w:rsid w:val="000A2A8F"/>
    <w:rsid w:val="000B6B7A"/>
    <w:rsid w:val="000C1CBC"/>
    <w:rsid w:val="000C2051"/>
    <w:rsid w:val="000D5C01"/>
    <w:rsid w:val="000D7882"/>
    <w:rsid w:val="000F6419"/>
    <w:rsid w:val="001008C4"/>
    <w:rsid w:val="00106B60"/>
    <w:rsid w:val="0011674D"/>
    <w:rsid w:val="00116AB1"/>
    <w:rsid w:val="00117F88"/>
    <w:rsid w:val="001215D6"/>
    <w:rsid w:val="00122F2D"/>
    <w:rsid w:val="00125833"/>
    <w:rsid w:val="001278C8"/>
    <w:rsid w:val="001304A3"/>
    <w:rsid w:val="001608E9"/>
    <w:rsid w:val="00161A01"/>
    <w:rsid w:val="00165CF3"/>
    <w:rsid w:val="00171F56"/>
    <w:rsid w:val="00183031"/>
    <w:rsid w:val="0019431F"/>
    <w:rsid w:val="001974D5"/>
    <w:rsid w:val="001A0878"/>
    <w:rsid w:val="001B083A"/>
    <w:rsid w:val="001C0F14"/>
    <w:rsid w:val="001C137F"/>
    <w:rsid w:val="001F44E4"/>
    <w:rsid w:val="00200432"/>
    <w:rsid w:val="00210809"/>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667A"/>
    <w:rsid w:val="0031143B"/>
    <w:rsid w:val="0031590A"/>
    <w:rsid w:val="00324538"/>
    <w:rsid w:val="003308A3"/>
    <w:rsid w:val="00330FBC"/>
    <w:rsid w:val="003334A3"/>
    <w:rsid w:val="00341E2B"/>
    <w:rsid w:val="003425B4"/>
    <w:rsid w:val="003473D1"/>
    <w:rsid w:val="00351CF8"/>
    <w:rsid w:val="00354C00"/>
    <w:rsid w:val="003651DE"/>
    <w:rsid w:val="00366285"/>
    <w:rsid w:val="00390DD5"/>
    <w:rsid w:val="0039450D"/>
    <w:rsid w:val="003961C8"/>
    <w:rsid w:val="00397193"/>
    <w:rsid w:val="003A28B9"/>
    <w:rsid w:val="003B25E4"/>
    <w:rsid w:val="003B7CDA"/>
    <w:rsid w:val="003C2753"/>
    <w:rsid w:val="003D1AD5"/>
    <w:rsid w:val="003D5720"/>
    <w:rsid w:val="003E1156"/>
    <w:rsid w:val="003E535A"/>
    <w:rsid w:val="003F5B29"/>
    <w:rsid w:val="003F766E"/>
    <w:rsid w:val="00401B56"/>
    <w:rsid w:val="0040238E"/>
    <w:rsid w:val="004150EE"/>
    <w:rsid w:val="00426BDB"/>
    <w:rsid w:val="00447CD6"/>
    <w:rsid w:val="00450A97"/>
    <w:rsid w:val="00451F1E"/>
    <w:rsid w:val="0045701E"/>
    <w:rsid w:val="004608DF"/>
    <w:rsid w:val="00470038"/>
    <w:rsid w:val="0047646C"/>
    <w:rsid w:val="00477EA1"/>
    <w:rsid w:val="00486F8C"/>
    <w:rsid w:val="00491938"/>
    <w:rsid w:val="004C40AC"/>
    <w:rsid w:val="004D3BE8"/>
    <w:rsid w:val="004D7029"/>
    <w:rsid w:val="0050449F"/>
    <w:rsid w:val="0050714A"/>
    <w:rsid w:val="0052059B"/>
    <w:rsid w:val="005223CF"/>
    <w:rsid w:val="00524230"/>
    <w:rsid w:val="0052746D"/>
    <w:rsid w:val="00536340"/>
    <w:rsid w:val="00554F7E"/>
    <w:rsid w:val="00555852"/>
    <w:rsid w:val="00562429"/>
    <w:rsid w:val="00562E71"/>
    <w:rsid w:val="00563333"/>
    <w:rsid w:val="0056579D"/>
    <w:rsid w:val="00572C38"/>
    <w:rsid w:val="00576DBE"/>
    <w:rsid w:val="005821F6"/>
    <w:rsid w:val="005A02EF"/>
    <w:rsid w:val="005A2F4C"/>
    <w:rsid w:val="005A47E1"/>
    <w:rsid w:val="005B300D"/>
    <w:rsid w:val="005C0C4C"/>
    <w:rsid w:val="005D430C"/>
    <w:rsid w:val="005E7962"/>
    <w:rsid w:val="005F3776"/>
    <w:rsid w:val="005F512F"/>
    <w:rsid w:val="00601340"/>
    <w:rsid w:val="00610457"/>
    <w:rsid w:val="00614CFF"/>
    <w:rsid w:val="00633A43"/>
    <w:rsid w:val="00642BA6"/>
    <w:rsid w:val="0064700E"/>
    <w:rsid w:val="00657EC2"/>
    <w:rsid w:val="00662D5F"/>
    <w:rsid w:val="006A15C4"/>
    <w:rsid w:val="006B4BFA"/>
    <w:rsid w:val="006B6623"/>
    <w:rsid w:val="006C0A5C"/>
    <w:rsid w:val="006D0A56"/>
    <w:rsid w:val="006E3505"/>
    <w:rsid w:val="006E4852"/>
    <w:rsid w:val="007141B6"/>
    <w:rsid w:val="00725451"/>
    <w:rsid w:val="007450A2"/>
    <w:rsid w:val="00765933"/>
    <w:rsid w:val="007667BD"/>
    <w:rsid w:val="00772220"/>
    <w:rsid w:val="00772FF2"/>
    <w:rsid w:val="007744B1"/>
    <w:rsid w:val="0077502F"/>
    <w:rsid w:val="007777F2"/>
    <w:rsid w:val="007A1148"/>
    <w:rsid w:val="007A68B8"/>
    <w:rsid w:val="007B7ABA"/>
    <w:rsid w:val="007C11BF"/>
    <w:rsid w:val="007E02D5"/>
    <w:rsid w:val="007E3F94"/>
    <w:rsid w:val="007E5792"/>
    <w:rsid w:val="007E7786"/>
    <w:rsid w:val="007F11DC"/>
    <w:rsid w:val="007F50D6"/>
    <w:rsid w:val="0080741D"/>
    <w:rsid w:val="00815A13"/>
    <w:rsid w:val="0084731C"/>
    <w:rsid w:val="008644E6"/>
    <w:rsid w:val="00864526"/>
    <w:rsid w:val="008651FD"/>
    <w:rsid w:val="008778B0"/>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5C25"/>
    <w:rsid w:val="009E3AF4"/>
    <w:rsid w:val="009E5B73"/>
    <w:rsid w:val="009F3D47"/>
    <w:rsid w:val="00A012AD"/>
    <w:rsid w:val="00A0457B"/>
    <w:rsid w:val="00A07CE5"/>
    <w:rsid w:val="00A237C3"/>
    <w:rsid w:val="00A34D87"/>
    <w:rsid w:val="00A43331"/>
    <w:rsid w:val="00A50AA7"/>
    <w:rsid w:val="00A515E7"/>
    <w:rsid w:val="00A56847"/>
    <w:rsid w:val="00A70D1E"/>
    <w:rsid w:val="00A908EB"/>
    <w:rsid w:val="00A955C8"/>
    <w:rsid w:val="00AA3953"/>
    <w:rsid w:val="00AA3D41"/>
    <w:rsid w:val="00AA655B"/>
    <w:rsid w:val="00AC086D"/>
    <w:rsid w:val="00AC294C"/>
    <w:rsid w:val="00AC5054"/>
    <w:rsid w:val="00AD19A5"/>
    <w:rsid w:val="00AE2506"/>
    <w:rsid w:val="00AE5C3E"/>
    <w:rsid w:val="00AF114E"/>
    <w:rsid w:val="00AF5889"/>
    <w:rsid w:val="00B01149"/>
    <w:rsid w:val="00B15FA3"/>
    <w:rsid w:val="00B21BC4"/>
    <w:rsid w:val="00B2633D"/>
    <w:rsid w:val="00B44CC1"/>
    <w:rsid w:val="00B4545A"/>
    <w:rsid w:val="00B506E7"/>
    <w:rsid w:val="00B54FED"/>
    <w:rsid w:val="00B611EA"/>
    <w:rsid w:val="00B61B30"/>
    <w:rsid w:val="00B62E4E"/>
    <w:rsid w:val="00B70E36"/>
    <w:rsid w:val="00B73D19"/>
    <w:rsid w:val="00B76C3F"/>
    <w:rsid w:val="00B9436A"/>
    <w:rsid w:val="00B971E2"/>
    <w:rsid w:val="00BB3AED"/>
    <w:rsid w:val="00BB6608"/>
    <w:rsid w:val="00BB6C01"/>
    <w:rsid w:val="00BC13F0"/>
    <w:rsid w:val="00BC6F17"/>
    <w:rsid w:val="00BD673C"/>
    <w:rsid w:val="00BE3C6A"/>
    <w:rsid w:val="00BE4807"/>
    <w:rsid w:val="00BE4DE3"/>
    <w:rsid w:val="00BE7967"/>
    <w:rsid w:val="00BF571C"/>
    <w:rsid w:val="00C105DD"/>
    <w:rsid w:val="00C13E46"/>
    <w:rsid w:val="00C179A1"/>
    <w:rsid w:val="00C211BD"/>
    <w:rsid w:val="00C336CE"/>
    <w:rsid w:val="00C43620"/>
    <w:rsid w:val="00C44335"/>
    <w:rsid w:val="00C455C6"/>
    <w:rsid w:val="00C507BE"/>
    <w:rsid w:val="00C55CD6"/>
    <w:rsid w:val="00C84588"/>
    <w:rsid w:val="00C961DD"/>
    <w:rsid w:val="00CA5747"/>
    <w:rsid w:val="00CA6329"/>
    <w:rsid w:val="00CB4326"/>
    <w:rsid w:val="00CB5B36"/>
    <w:rsid w:val="00CC7996"/>
    <w:rsid w:val="00CE4406"/>
    <w:rsid w:val="00CE4DEE"/>
    <w:rsid w:val="00CF1678"/>
    <w:rsid w:val="00CF2A63"/>
    <w:rsid w:val="00D062A2"/>
    <w:rsid w:val="00D073C5"/>
    <w:rsid w:val="00D138E3"/>
    <w:rsid w:val="00D24A86"/>
    <w:rsid w:val="00D33ACB"/>
    <w:rsid w:val="00D37156"/>
    <w:rsid w:val="00D439D0"/>
    <w:rsid w:val="00D47558"/>
    <w:rsid w:val="00D56F9B"/>
    <w:rsid w:val="00D6355E"/>
    <w:rsid w:val="00D65F7F"/>
    <w:rsid w:val="00D73140"/>
    <w:rsid w:val="00D76940"/>
    <w:rsid w:val="00D9183B"/>
    <w:rsid w:val="00D9241E"/>
    <w:rsid w:val="00D92707"/>
    <w:rsid w:val="00DA52B4"/>
    <w:rsid w:val="00DB3F31"/>
    <w:rsid w:val="00DC5D62"/>
    <w:rsid w:val="00DC6A58"/>
    <w:rsid w:val="00DD341F"/>
    <w:rsid w:val="00DD758A"/>
    <w:rsid w:val="00DF0B3F"/>
    <w:rsid w:val="00DF4B88"/>
    <w:rsid w:val="00E0303E"/>
    <w:rsid w:val="00E03A86"/>
    <w:rsid w:val="00E24451"/>
    <w:rsid w:val="00E30570"/>
    <w:rsid w:val="00E31008"/>
    <w:rsid w:val="00E3228F"/>
    <w:rsid w:val="00E34E17"/>
    <w:rsid w:val="00E625C3"/>
    <w:rsid w:val="00E63F62"/>
    <w:rsid w:val="00E67F2F"/>
    <w:rsid w:val="00E87332"/>
    <w:rsid w:val="00E95171"/>
    <w:rsid w:val="00EA24A0"/>
    <w:rsid w:val="00EA2E49"/>
    <w:rsid w:val="00EB2901"/>
    <w:rsid w:val="00EC058F"/>
    <w:rsid w:val="00EC476F"/>
    <w:rsid w:val="00ED2583"/>
    <w:rsid w:val="00ED3095"/>
    <w:rsid w:val="00EE27FB"/>
    <w:rsid w:val="00EE64BB"/>
    <w:rsid w:val="00EF1FDE"/>
    <w:rsid w:val="00EF22A6"/>
    <w:rsid w:val="00F031E6"/>
    <w:rsid w:val="00F04F61"/>
    <w:rsid w:val="00F106F9"/>
    <w:rsid w:val="00F13C84"/>
    <w:rsid w:val="00F55567"/>
    <w:rsid w:val="00F61C35"/>
    <w:rsid w:val="00F8127B"/>
    <w:rsid w:val="00F83D53"/>
    <w:rsid w:val="00F854BB"/>
    <w:rsid w:val="00F85A28"/>
    <w:rsid w:val="00F95E83"/>
    <w:rsid w:val="00FB77ED"/>
    <w:rsid w:val="00FC0903"/>
    <w:rsid w:val="00FC7EE4"/>
    <w:rsid w:val="00FD2ABA"/>
    <w:rsid w:val="00FE654C"/>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A"/>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s>
</file>

<file path=word/webSettings.xml><?xml version="1.0" encoding="utf-8"?>
<w:webSettings xmlns:r="http://schemas.openxmlformats.org/officeDocument/2006/relationships" xmlns:w="http://schemas.openxmlformats.org/wordprocessingml/2006/main">
  <w:divs>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D4AD0B-A3E1-47F3-90EC-83AAE738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Ssu-Hsin</dc:creator>
  <cp:lastModifiedBy>Ssu-Hsin</cp:lastModifiedBy>
  <cp:revision>254</cp:revision>
  <cp:lastPrinted>2015-10-21T04:06:00Z</cp:lastPrinted>
  <dcterms:created xsi:type="dcterms:W3CDTF">2013-04-23T18:13:00Z</dcterms:created>
  <dcterms:modified xsi:type="dcterms:W3CDTF">2015-10-29T04:06:00Z</dcterms:modified>
</cp:coreProperties>
</file>