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A63" w:rsidRPr="006E4852" w:rsidRDefault="009C422A" w:rsidP="006E4852">
      <w:pPr>
        <w:jc w:val="center"/>
        <w:rPr>
          <w:rFonts w:asciiTheme="majorHAnsi" w:hAnsiTheme="majorHAnsi"/>
          <w:b/>
          <w:sz w:val="32"/>
          <w:szCs w:val="32"/>
        </w:rPr>
      </w:pPr>
      <w:proofErr w:type="spellStart"/>
      <w:r w:rsidRPr="006E4852">
        <w:rPr>
          <w:rFonts w:asciiTheme="majorHAnsi" w:hAnsiTheme="majorHAnsi"/>
          <w:b/>
          <w:sz w:val="32"/>
          <w:szCs w:val="32"/>
        </w:rPr>
        <w:t>Spatio</w:t>
      </w:r>
      <w:proofErr w:type="spellEnd"/>
      <w:r w:rsidRPr="006E4852">
        <w:rPr>
          <w:rFonts w:asciiTheme="majorHAnsi" w:hAnsiTheme="majorHAnsi"/>
          <w:b/>
          <w:sz w:val="32"/>
          <w:szCs w:val="32"/>
        </w:rPr>
        <w:t>-temporal prediction of epidemics through fusion of information from diverse sources</w:t>
      </w:r>
    </w:p>
    <w:p w:rsidR="008651FD" w:rsidRDefault="008651FD" w:rsidP="002C6A9D">
      <w:pPr>
        <w:pStyle w:val="Heading1"/>
        <w:rPr>
          <w:rFonts w:eastAsia="Times New Roman"/>
        </w:rPr>
      </w:pPr>
      <w:r>
        <w:rPr>
          <w:rFonts w:eastAsia="Times New Roman"/>
        </w:rPr>
        <w:t xml:space="preserve">Problem </w:t>
      </w:r>
      <w:r w:rsidRPr="002C6A9D">
        <w:t>Description</w:t>
      </w:r>
    </w:p>
    <w:p w:rsidR="008651FD" w:rsidRDefault="008651FD" w:rsidP="008651FD">
      <w:r>
        <w:t xml:space="preserve">Predicting the spread of epidemics through space and time can help government agencies and organizations better prepare and allocate resources. Seasonal flu epidemics have been closely monitored, and many years of historical data have been collected by the medical community. </w:t>
      </w:r>
      <w:r w:rsidR="0077502F">
        <w:t>The</w:t>
      </w:r>
      <w:r w:rsidR="00FB77ED">
        <w:t xml:space="preserve"> data co</w:t>
      </w:r>
      <w:r w:rsidR="00772220">
        <w:t>llected and aggregated by CDC has been</w:t>
      </w:r>
      <w:r w:rsidR="00FB77ED">
        <w:t xml:space="preserve"> </w:t>
      </w:r>
      <w:r w:rsidR="00772220">
        <w:t xml:space="preserve">proved </w:t>
      </w:r>
      <w:r w:rsidR="00FB77ED">
        <w:t>valuable for researchers to develop models to forecast the spread of flu epidemics. Besides the C</w:t>
      </w:r>
      <w:r w:rsidR="005821F6">
        <w:t xml:space="preserve">DC data, there are </w:t>
      </w:r>
      <w:r w:rsidR="00772220">
        <w:t xml:space="preserve">many disparate </w:t>
      </w:r>
      <w:r w:rsidR="005821F6">
        <w:t>data</w:t>
      </w:r>
      <w:r w:rsidR="00FB77ED">
        <w:t xml:space="preserve"> </w:t>
      </w:r>
      <w:r w:rsidR="00772220">
        <w:t xml:space="preserve">of human behavior patterns </w:t>
      </w:r>
      <w:r w:rsidR="00FB77ED">
        <w:t>collected by differen</w:t>
      </w:r>
      <w:r w:rsidR="0077502F">
        <w:t>t entities for various purposes –</w:t>
      </w:r>
      <w:r w:rsidR="00FB77ED">
        <w:t xml:space="preserve"> many of </w:t>
      </w:r>
      <w:r w:rsidR="0077502F">
        <w:t>t</w:t>
      </w:r>
      <w:r w:rsidR="00772220">
        <w:t>hem unrelated to flu epidemics.</w:t>
      </w:r>
      <w:r w:rsidR="00FB77ED">
        <w:t xml:space="preserve"> </w:t>
      </w:r>
      <w:r w:rsidR="00772220">
        <w:t>When those datasets</w:t>
      </w:r>
      <w:r w:rsidR="0077502F">
        <w:t xml:space="preserve"> are considered together</w:t>
      </w:r>
      <w:r w:rsidR="00772220">
        <w:t xml:space="preserve"> with the CDC data</w:t>
      </w:r>
      <w:r w:rsidR="0077502F">
        <w:t xml:space="preserve">, </w:t>
      </w:r>
      <w:r w:rsidR="00772220">
        <w:t xml:space="preserve">they </w:t>
      </w:r>
      <w:r w:rsidR="00FB77ED">
        <w:t xml:space="preserve">offer the opportunity to significantly improve </w:t>
      </w:r>
      <w:r w:rsidR="00CA6329">
        <w:t xml:space="preserve">our ability to </w:t>
      </w:r>
      <w:r w:rsidR="0077502F">
        <w:t>assess and forecast flu</w:t>
      </w:r>
      <w:r w:rsidR="00CA6329">
        <w:t xml:space="preserve"> </w:t>
      </w:r>
      <w:r w:rsidR="0077502F">
        <w:t>epidemics both spatially and temporally. Such data includes transportation pattern</w:t>
      </w:r>
      <w:r>
        <w:t>, we</w:t>
      </w:r>
      <w:r w:rsidR="00FB77ED">
        <w:t xml:space="preserve">ather data, </w:t>
      </w:r>
      <w:r w:rsidR="00772220">
        <w:t>social network data</w:t>
      </w:r>
      <w:r w:rsidR="0077502F">
        <w:t>,</w:t>
      </w:r>
      <w:r>
        <w:t xml:space="preserve"> </w:t>
      </w:r>
      <w:r w:rsidR="00AC086D">
        <w:t>vaccination statistics</w:t>
      </w:r>
      <w:r w:rsidR="0077502F">
        <w:t xml:space="preserve"> and flu medication sale</w:t>
      </w:r>
      <w:r>
        <w:t xml:space="preserve">. </w:t>
      </w:r>
      <w:r w:rsidR="00B01149">
        <w:t>Thos</w:t>
      </w:r>
      <w:r w:rsidR="00772220">
        <w:t>e data have different characteristics</w:t>
      </w:r>
      <w:r w:rsidR="00B01149">
        <w:t xml:space="preserve"> (e.g. counts for CDC data, percentage for vaccination data and connection graph for air transportation) and different spatial or temporal resolutions. </w:t>
      </w:r>
      <w:r w:rsidR="00C336CE">
        <w:t xml:space="preserve">Aggregating the data into a forecasting model is challenging but, if successful, can provide much improved forecasting accuracy over longer time horizon than </w:t>
      </w:r>
      <w:r w:rsidR="000116A2">
        <w:t xml:space="preserve">what </w:t>
      </w:r>
      <w:r w:rsidR="00C336CE">
        <w:t>curren</w:t>
      </w:r>
      <w:r w:rsidR="00772220">
        <w:t>t approaches based on limited sources of information can accomplish.</w:t>
      </w:r>
    </w:p>
    <w:p w:rsidR="00FB77ED" w:rsidRDefault="00FB77ED" w:rsidP="00FB77ED">
      <w:pPr>
        <w:pStyle w:val="Heading2"/>
        <w:rPr>
          <w:rFonts w:eastAsia="Times New Roman"/>
        </w:rPr>
      </w:pPr>
      <w:r>
        <w:rPr>
          <w:rFonts w:eastAsia="Times New Roman"/>
        </w:rPr>
        <w:t>Phase 1 Problem</w:t>
      </w:r>
    </w:p>
    <w:p w:rsidR="00FB77ED" w:rsidRDefault="00FB77ED" w:rsidP="00FB77ED">
      <w:pPr>
        <w:rPr>
          <w:rFonts w:eastAsia="Times New Roman"/>
        </w:rPr>
      </w:pPr>
      <w:r>
        <w:rPr>
          <w:rFonts w:eastAsia="Times New Roman"/>
        </w:rPr>
        <w:t xml:space="preserve">During Phase 1, the goal is to use all of the data listed in the next section retrospectively to </w:t>
      </w:r>
      <w:r w:rsidR="00A50AA7">
        <w:rPr>
          <w:rFonts w:eastAsia="Times New Roman"/>
        </w:rPr>
        <w:t>estimate</w:t>
      </w:r>
      <w:r w:rsidR="0084731C">
        <w:rPr>
          <w:rFonts w:eastAsia="Times New Roman"/>
        </w:rPr>
        <w:t xml:space="preserve"> </w:t>
      </w:r>
      <w:r w:rsidR="00087D18">
        <w:rPr>
          <w:rFonts w:eastAsia="Times New Roman"/>
        </w:rPr>
        <w:t>week</w:t>
      </w:r>
      <w:r w:rsidR="0084731C">
        <w:rPr>
          <w:rFonts w:eastAsia="Times New Roman"/>
        </w:rPr>
        <w:t xml:space="preserve">ly </w:t>
      </w:r>
      <w:r w:rsidR="00AC086D" w:rsidRPr="00AC086D">
        <w:rPr>
          <w:rFonts w:eastAsia="Times New Roman"/>
        </w:rPr>
        <w:t xml:space="preserve">Influenza-like Illness </w:t>
      </w:r>
      <w:r w:rsidR="00AC086D">
        <w:rPr>
          <w:rFonts w:eastAsia="Times New Roman"/>
        </w:rPr>
        <w:t>(</w:t>
      </w:r>
      <w:r w:rsidR="0084731C">
        <w:rPr>
          <w:rFonts w:eastAsia="Times New Roman"/>
        </w:rPr>
        <w:t>ILI</w:t>
      </w:r>
      <w:r w:rsidR="00AC086D">
        <w:rPr>
          <w:rFonts w:eastAsia="Times New Roman"/>
        </w:rPr>
        <w:t>)</w:t>
      </w:r>
      <w:r w:rsidR="0084731C">
        <w:rPr>
          <w:rFonts w:eastAsia="Times New Roman"/>
        </w:rPr>
        <w:t xml:space="preserve"> cases in the United States</w:t>
      </w:r>
      <w:r>
        <w:rPr>
          <w:rFonts w:eastAsia="Times New Roman"/>
        </w:rPr>
        <w:t xml:space="preserve">. </w:t>
      </w:r>
      <w:r w:rsidR="00A50AA7">
        <w:rPr>
          <w:rFonts w:eastAsia="Times New Roman"/>
        </w:rPr>
        <w:t xml:space="preserve">The spatial resolution of the estimate should be </w:t>
      </w:r>
      <w:r w:rsidR="0084731C">
        <w:rPr>
          <w:rFonts w:eastAsia="Times New Roman"/>
        </w:rPr>
        <w:t>in the level of counties or higher. The results will</w:t>
      </w:r>
      <w:r>
        <w:rPr>
          <w:rFonts w:eastAsia="Times New Roman"/>
        </w:rPr>
        <w:t xml:space="preserve"> be compared to select states where ILI cases of individual counties have also been collected. The development in the first phase also helps to identify important covariates and their contributions to </w:t>
      </w:r>
      <w:proofErr w:type="spellStart"/>
      <w:r>
        <w:rPr>
          <w:rFonts w:eastAsia="Times New Roman"/>
        </w:rPr>
        <w:t>spatio</w:t>
      </w:r>
      <w:proofErr w:type="spellEnd"/>
      <w:r>
        <w:rPr>
          <w:rFonts w:eastAsia="Times New Roman"/>
        </w:rPr>
        <w:t>-temporal interpolation and prediction.</w:t>
      </w:r>
    </w:p>
    <w:p w:rsidR="00FB77ED" w:rsidRDefault="00FB77ED" w:rsidP="00FB77ED">
      <w:pPr>
        <w:pStyle w:val="Heading2"/>
        <w:rPr>
          <w:rFonts w:eastAsia="Times New Roman"/>
        </w:rPr>
      </w:pPr>
      <w:r>
        <w:rPr>
          <w:rFonts w:eastAsia="Times New Roman"/>
        </w:rPr>
        <w:t>Phase 2 Problem</w:t>
      </w:r>
    </w:p>
    <w:p w:rsidR="00FB77ED" w:rsidRPr="008651FD" w:rsidRDefault="00FB77ED" w:rsidP="008651FD">
      <w:r>
        <w:t xml:space="preserve">During Phase 2, the goal is for the models developed by the performers to forecast </w:t>
      </w:r>
      <w:r w:rsidR="00087D18">
        <w:t>week</w:t>
      </w:r>
      <w:r w:rsidR="00772FF2">
        <w:t>ly ILI cases in the county level</w:t>
      </w:r>
      <w:r>
        <w:t xml:space="preserve">. Hence, the models can only depend on the data sources that will be available prospectively. </w:t>
      </w:r>
      <w:r w:rsidR="00772FF2">
        <w:t xml:space="preserve">The performers may use the Phase 1 models for training in conjunction with the data. </w:t>
      </w:r>
      <w:r>
        <w:t>In the early stage of Phase 2, the performers may use historical data to verify accuracy of their predictions. Later, the forecasting results will be compared weekly to</w:t>
      </w:r>
      <w:r w:rsidR="00E67F2F">
        <w:t xml:space="preserve"> the</w:t>
      </w:r>
      <w:r>
        <w:t xml:space="preserve"> released data from CDC and select states.</w:t>
      </w:r>
    </w:p>
    <w:p w:rsidR="00116AB1" w:rsidRDefault="00AD19A5" w:rsidP="007E5792">
      <w:pPr>
        <w:pStyle w:val="Heading1"/>
        <w:rPr>
          <w:rFonts w:eastAsia="Times New Roman"/>
        </w:rPr>
      </w:pPr>
      <w:r>
        <w:rPr>
          <w:rFonts w:eastAsia="Times New Roman"/>
        </w:rPr>
        <w:t>Data Sources</w:t>
      </w:r>
    </w:p>
    <w:p w:rsidR="007E5792" w:rsidRPr="007E5792" w:rsidRDefault="007E5792" w:rsidP="007E5792"/>
    <w:tbl>
      <w:tblPr>
        <w:tblStyle w:val="MediumShading1-Accent3"/>
        <w:tblW w:w="0" w:type="auto"/>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Look w:val="0480"/>
      </w:tblPr>
      <w:tblGrid>
        <w:gridCol w:w="9576"/>
      </w:tblGrid>
      <w:tr w:rsidR="00116AB1" w:rsidTr="00D439D0">
        <w:trPr>
          <w:cnfStyle w:val="000000100000"/>
        </w:trPr>
        <w:tc>
          <w:tcPr>
            <w:cnfStyle w:val="001000000000"/>
            <w:tcW w:w="9576" w:type="dxa"/>
          </w:tcPr>
          <w:p w:rsidR="00116AB1" w:rsidRPr="006E3505" w:rsidRDefault="00D24A86" w:rsidP="00AD19A5">
            <w:pPr>
              <w:rPr>
                <w:b w:val="0"/>
                <w:bCs w:val="0"/>
              </w:rPr>
            </w:pPr>
            <w:r>
              <w:rPr>
                <w:b w:val="0"/>
                <w:bCs w:val="0"/>
              </w:rPr>
              <w:t>CDC Seasonal Flu Data</w:t>
            </w:r>
          </w:p>
        </w:tc>
      </w:tr>
      <w:tr w:rsidR="00116AB1" w:rsidTr="00D439D0">
        <w:trPr>
          <w:cnfStyle w:val="000000010000"/>
        </w:trPr>
        <w:tc>
          <w:tcPr>
            <w:cnfStyle w:val="001000000000"/>
            <w:tcW w:w="9576" w:type="dxa"/>
          </w:tcPr>
          <w:p w:rsidR="00E31008" w:rsidRDefault="002D7A99" w:rsidP="00AD19A5">
            <w:pPr>
              <w:rPr>
                <w:b w:val="0"/>
              </w:rPr>
            </w:pPr>
            <w:r>
              <w:rPr>
                <w:b w:val="0"/>
              </w:rPr>
              <w:t>CDC reports the weekly n</w:t>
            </w:r>
            <w:r w:rsidR="006E3505" w:rsidRPr="006E3505">
              <w:rPr>
                <w:b w:val="0"/>
              </w:rPr>
              <w:t>umber of Influenza-like Illness (ILI) cases collected through the U.S. Outpatient Influenza-like Illnes</w:t>
            </w:r>
            <w:r w:rsidR="006E3505">
              <w:rPr>
                <w:b w:val="0"/>
              </w:rPr>
              <w:t>s Surveillance Network (</w:t>
            </w:r>
            <w:proofErr w:type="spellStart"/>
            <w:r w:rsidR="006E3505">
              <w:rPr>
                <w:b w:val="0"/>
              </w:rPr>
              <w:t>ILINet</w:t>
            </w:r>
            <w:proofErr w:type="spellEnd"/>
            <w:r w:rsidR="006E3505">
              <w:rPr>
                <w:b w:val="0"/>
              </w:rPr>
              <w:t>)</w:t>
            </w:r>
            <w:r>
              <w:rPr>
                <w:b w:val="0"/>
              </w:rPr>
              <w:t xml:space="preserve"> with roughly 2 weeks of delay</w:t>
            </w:r>
            <w:r w:rsidR="006E3505" w:rsidRPr="006E3505">
              <w:rPr>
                <w:b w:val="0"/>
              </w:rPr>
              <w:t>. This is considered a highly authoritative source of influenza related inform</w:t>
            </w:r>
            <w:r>
              <w:rPr>
                <w:b w:val="0"/>
              </w:rPr>
              <w:t>ation in the medical field. The publicly available</w:t>
            </w:r>
            <w:r w:rsidR="006E3505" w:rsidRPr="006E3505">
              <w:rPr>
                <w:b w:val="0"/>
              </w:rPr>
              <w:t xml:space="preserve"> </w:t>
            </w:r>
            <w:r w:rsidR="006E3505" w:rsidRPr="006E3505">
              <w:rPr>
                <w:b w:val="0"/>
              </w:rPr>
              <w:lastRenderedPageBreak/>
              <w:t>dataset contains the</w:t>
            </w:r>
            <w:r w:rsidR="0052746D">
              <w:rPr>
                <w:b w:val="0"/>
              </w:rPr>
              <w:t xml:space="preserve"> numbers of weekly ILI cases </w:t>
            </w:r>
            <w:r w:rsidR="006E3505">
              <w:rPr>
                <w:b w:val="0"/>
              </w:rPr>
              <w:t>since 1997</w:t>
            </w:r>
            <w:r w:rsidR="006E3505" w:rsidRPr="006E3505">
              <w:rPr>
                <w:b w:val="0"/>
              </w:rPr>
              <w:t>. The cases in each reporting period are also divided into 10 Health and Human Services (HHS) regions where a</w:t>
            </w:r>
            <w:r w:rsidR="00F031E6">
              <w:rPr>
                <w:b w:val="0"/>
              </w:rPr>
              <w:t xml:space="preserve"> region covers multiple states.</w:t>
            </w:r>
          </w:p>
          <w:p w:rsidR="00E31008" w:rsidRPr="006E3505" w:rsidRDefault="00E31008" w:rsidP="00E31008">
            <w:r>
              <w:rPr>
                <w:b w:val="0"/>
              </w:rPr>
              <w:t xml:space="preserve">Source: </w:t>
            </w:r>
            <w:hyperlink r:id="rId8" w:history="1">
              <w:r w:rsidRPr="006E3505">
                <w:rPr>
                  <w:rStyle w:val="Hyperlink"/>
                  <w:b w:val="0"/>
                  <w:bCs w:val="0"/>
                </w:rPr>
                <w:t>http://gis.cdc.gov/grasp/fluview/fluportaldashboard.html</w:t>
              </w:r>
            </w:hyperlink>
          </w:p>
          <w:p w:rsidR="00E31008" w:rsidRPr="00DA52B4" w:rsidRDefault="00E31008" w:rsidP="00E31008">
            <w:pPr>
              <w:rPr>
                <w:b w:val="0"/>
                <w:u w:val="single"/>
              </w:rPr>
            </w:pPr>
            <w:r w:rsidRPr="00DA52B4">
              <w:rPr>
                <w:b w:val="0"/>
                <w:u w:val="single"/>
              </w:rPr>
              <w:t>Availability: Now</w:t>
            </w:r>
          </w:p>
          <w:p w:rsidR="00E31008" w:rsidRDefault="006E3505" w:rsidP="00AD19A5">
            <w:pPr>
              <w:rPr>
                <w:b w:val="0"/>
              </w:rPr>
            </w:pPr>
            <w:r>
              <w:rPr>
                <w:b w:val="0"/>
              </w:rPr>
              <w:t xml:space="preserve">Besides ILI, </w:t>
            </w:r>
            <w:r w:rsidRPr="006E3505">
              <w:rPr>
                <w:b w:val="0"/>
              </w:rPr>
              <w:t xml:space="preserve">laboratories located in all 50 states, Puerto Rico, and the District of Columbia </w:t>
            </w:r>
            <w:r>
              <w:rPr>
                <w:b w:val="0"/>
              </w:rPr>
              <w:t xml:space="preserve">also </w:t>
            </w:r>
            <w:r w:rsidRPr="006E3505">
              <w:rPr>
                <w:b w:val="0"/>
              </w:rPr>
              <w:t xml:space="preserve">report to CDC the number of respiratory specimens tested for influenza and the number </w:t>
            </w:r>
            <w:r w:rsidR="001C0F14">
              <w:rPr>
                <w:b w:val="0"/>
              </w:rPr>
              <w:t xml:space="preserve">of </w:t>
            </w:r>
            <w:r w:rsidRPr="006E3505">
              <w:rPr>
                <w:b w:val="0"/>
              </w:rPr>
              <w:t xml:space="preserve">positive </w:t>
            </w:r>
            <w:r w:rsidR="001C0F14">
              <w:rPr>
                <w:b w:val="0"/>
              </w:rPr>
              <w:t xml:space="preserve">cases </w:t>
            </w:r>
            <w:r w:rsidRPr="006E3505">
              <w:rPr>
                <w:b w:val="0"/>
              </w:rPr>
              <w:t>by influenza virus type and influenza A virus subtype.</w:t>
            </w:r>
            <w:r w:rsidR="00E31008">
              <w:rPr>
                <w:b w:val="0"/>
              </w:rPr>
              <w:t xml:space="preserve"> Th</w:t>
            </w:r>
            <w:r w:rsidR="001C0F14">
              <w:rPr>
                <w:b w:val="0"/>
              </w:rPr>
              <w:t>is</w:t>
            </w:r>
            <w:r w:rsidR="00E31008">
              <w:rPr>
                <w:b w:val="0"/>
              </w:rPr>
              <w:t xml:space="preserve"> data is even </w:t>
            </w:r>
            <w:r w:rsidR="0052746D">
              <w:rPr>
                <w:b w:val="0"/>
              </w:rPr>
              <w:t>more definitive than ILI for flu, since ILI</w:t>
            </w:r>
            <w:r w:rsidR="00E31008">
              <w:rPr>
                <w:b w:val="0"/>
              </w:rPr>
              <w:t xml:space="preserve"> </w:t>
            </w:r>
            <w:r w:rsidR="0052746D">
              <w:rPr>
                <w:b w:val="0"/>
              </w:rPr>
              <w:t>considers</w:t>
            </w:r>
            <w:r w:rsidR="00E31008">
              <w:rPr>
                <w:b w:val="0"/>
              </w:rPr>
              <w:t xml:space="preserve"> </w:t>
            </w:r>
            <w:r w:rsidR="0052746D">
              <w:rPr>
                <w:b w:val="0"/>
              </w:rPr>
              <w:t xml:space="preserve">cases with </w:t>
            </w:r>
            <w:r w:rsidR="00E31008">
              <w:rPr>
                <w:b w:val="0"/>
              </w:rPr>
              <w:t>“</w:t>
            </w:r>
            <w:r w:rsidR="00E31008" w:rsidRPr="00E31008">
              <w:rPr>
                <w:b w:val="0"/>
              </w:rPr>
              <w:t>fever (temperature of 100°F [37.8°C] or greater) and a cough and/or a sore throat without a K</w:t>
            </w:r>
            <w:r w:rsidR="00E31008">
              <w:rPr>
                <w:b w:val="0"/>
              </w:rPr>
              <w:t>NOWN cause other than influenza.”</w:t>
            </w:r>
          </w:p>
          <w:p w:rsidR="00E31008" w:rsidRPr="006E3505" w:rsidRDefault="00E31008" w:rsidP="00E31008">
            <w:r>
              <w:rPr>
                <w:b w:val="0"/>
              </w:rPr>
              <w:t xml:space="preserve">Source: </w:t>
            </w:r>
            <w:hyperlink r:id="rId9" w:history="1">
              <w:r w:rsidRPr="006E3505">
                <w:rPr>
                  <w:rStyle w:val="Hyperlink"/>
                  <w:b w:val="0"/>
                  <w:bCs w:val="0"/>
                </w:rPr>
                <w:t>http://gis.cdc.gov/grasp/fluview/fluportaldashboard.html</w:t>
              </w:r>
            </w:hyperlink>
          </w:p>
          <w:p w:rsidR="006E3505" w:rsidRPr="00DA52B4" w:rsidRDefault="00E31008" w:rsidP="00AD19A5">
            <w:pPr>
              <w:rPr>
                <w:b w:val="0"/>
                <w:u w:val="single"/>
              </w:rPr>
            </w:pPr>
            <w:r w:rsidRPr="00DA52B4">
              <w:rPr>
                <w:b w:val="0"/>
                <w:u w:val="single"/>
              </w:rPr>
              <w:t>Availability: Now</w:t>
            </w:r>
          </w:p>
        </w:tc>
      </w:tr>
      <w:tr w:rsidR="00116AB1" w:rsidTr="00D439D0">
        <w:trPr>
          <w:cnfStyle w:val="000000100000"/>
        </w:trPr>
        <w:tc>
          <w:tcPr>
            <w:cnfStyle w:val="001000000000"/>
            <w:tcW w:w="9576" w:type="dxa"/>
          </w:tcPr>
          <w:p w:rsidR="00116AB1" w:rsidRPr="006E3505" w:rsidRDefault="001C0F14" w:rsidP="00AD19A5">
            <w:pPr>
              <w:rPr>
                <w:b w:val="0"/>
              </w:rPr>
            </w:pPr>
            <w:r>
              <w:rPr>
                <w:b w:val="0"/>
              </w:rPr>
              <w:lastRenderedPageBreak/>
              <w:t>Twitter Data</w:t>
            </w:r>
          </w:p>
        </w:tc>
      </w:tr>
      <w:tr w:rsidR="00116AB1" w:rsidTr="00D439D0">
        <w:trPr>
          <w:cnfStyle w:val="000000010000"/>
        </w:trPr>
        <w:tc>
          <w:tcPr>
            <w:cnfStyle w:val="001000000000"/>
            <w:tcW w:w="9576" w:type="dxa"/>
          </w:tcPr>
          <w:p w:rsidR="001C0F14" w:rsidRDefault="00CB5B36" w:rsidP="00AD19A5">
            <w:pPr>
              <w:rPr>
                <w:b w:val="0"/>
              </w:rPr>
            </w:pPr>
            <w:r>
              <w:rPr>
                <w:b w:val="0"/>
              </w:rPr>
              <w:t xml:space="preserve">The </w:t>
            </w:r>
            <w:r w:rsidR="00067827">
              <w:rPr>
                <w:b w:val="0"/>
              </w:rPr>
              <w:t xml:space="preserve">basic </w:t>
            </w:r>
            <w:r>
              <w:rPr>
                <w:b w:val="0"/>
              </w:rPr>
              <w:t>dataset contains the n</w:t>
            </w:r>
            <w:r w:rsidR="001C0F14" w:rsidRPr="001C0F14">
              <w:rPr>
                <w:b w:val="0"/>
              </w:rPr>
              <w:t xml:space="preserve">umber of </w:t>
            </w:r>
            <w:r>
              <w:rPr>
                <w:b w:val="0"/>
              </w:rPr>
              <w:t xml:space="preserve">flu related </w:t>
            </w:r>
            <w:r w:rsidR="001C0F14" w:rsidRPr="001C0F14">
              <w:rPr>
                <w:b w:val="0"/>
              </w:rPr>
              <w:t xml:space="preserve">tweets without re-tweets and not from the same user within syndrome elapsed time of 1 week. The flu related tweets are defined as tweets with keywords “flu,” “H1N1,” and “swine flu.” Twitter data provides </w:t>
            </w:r>
            <w:r>
              <w:rPr>
                <w:b w:val="0"/>
              </w:rPr>
              <w:t xml:space="preserve">observations with </w:t>
            </w:r>
            <w:r w:rsidR="001C0F14" w:rsidRPr="001C0F14">
              <w:rPr>
                <w:b w:val="0"/>
              </w:rPr>
              <w:t xml:space="preserve">better granularity </w:t>
            </w:r>
            <w:r>
              <w:rPr>
                <w:b w:val="0"/>
              </w:rPr>
              <w:t xml:space="preserve">in a timely manner but noisier </w:t>
            </w:r>
            <w:r w:rsidR="001C0F14" w:rsidRPr="001C0F14">
              <w:rPr>
                <w:b w:val="0"/>
              </w:rPr>
              <w:t>than CDC data.</w:t>
            </w:r>
            <w:r w:rsidR="001C0F14">
              <w:rPr>
                <w:b w:val="0"/>
              </w:rPr>
              <w:t xml:space="preserve"> </w:t>
            </w:r>
            <w:r w:rsidR="00E3228F">
              <w:rPr>
                <w:b w:val="0"/>
              </w:rPr>
              <w:t>The data is available from 2009-2011.</w:t>
            </w:r>
          </w:p>
          <w:p w:rsidR="00E3228F" w:rsidRPr="00AE5C3E" w:rsidRDefault="00E3228F" w:rsidP="00AD19A5">
            <w:pPr>
              <w:rPr>
                <w:b w:val="0"/>
                <w:u w:val="single"/>
              </w:rPr>
            </w:pPr>
            <w:r w:rsidRPr="00AE5C3E">
              <w:rPr>
                <w:b w:val="0"/>
                <w:u w:val="single"/>
              </w:rPr>
              <w:t>Availability: Now</w:t>
            </w:r>
          </w:p>
          <w:p w:rsidR="00116AB1" w:rsidRDefault="00E3228F" w:rsidP="00E3228F">
            <w:pPr>
              <w:rPr>
                <w:b w:val="0"/>
              </w:rPr>
            </w:pPr>
            <w:r>
              <w:rPr>
                <w:b w:val="0"/>
              </w:rPr>
              <w:t>More extensive data is to be</w:t>
            </w:r>
            <w:r w:rsidR="001C0F14" w:rsidRPr="001C0F14">
              <w:rPr>
                <w:b w:val="0"/>
              </w:rPr>
              <w:t xml:space="preserve"> acquire</w:t>
            </w:r>
            <w:r>
              <w:rPr>
                <w:b w:val="0"/>
              </w:rPr>
              <w:t xml:space="preserve">d </w:t>
            </w:r>
            <w:r w:rsidR="001C0F14" w:rsidRPr="001C0F14">
              <w:rPr>
                <w:b w:val="0"/>
              </w:rPr>
              <w:t xml:space="preserve">from a </w:t>
            </w:r>
            <w:r>
              <w:rPr>
                <w:b w:val="0"/>
              </w:rPr>
              <w:t xml:space="preserve">Twitter data </w:t>
            </w:r>
            <w:r w:rsidR="001C0F14" w:rsidRPr="001C0F14">
              <w:rPr>
                <w:b w:val="0"/>
              </w:rPr>
              <w:t xml:space="preserve">reseller such </w:t>
            </w:r>
            <w:r>
              <w:rPr>
                <w:b w:val="0"/>
              </w:rPr>
              <w:t>as GNIP (now part of Twitter), which has direct</w:t>
            </w:r>
            <w:r w:rsidR="001C0F14" w:rsidRPr="001C0F14">
              <w:rPr>
                <w:b w:val="0"/>
              </w:rPr>
              <w:t xml:space="preserve"> access</w:t>
            </w:r>
            <w:r>
              <w:rPr>
                <w:b w:val="0"/>
              </w:rPr>
              <w:t xml:space="preserve"> to</w:t>
            </w:r>
            <w:r w:rsidR="001C0F14" w:rsidRPr="001C0F14">
              <w:rPr>
                <w:b w:val="0"/>
              </w:rPr>
              <w:t xml:space="preserve"> the</w:t>
            </w:r>
            <w:r>
              <w:rPr>
                <w:b w:val="0"/>
              </w:rPr>
              <w:t xml:space="preserve"> Twitter fire hose</w:t>
            </w:r>
            <w:r w:rsidR="001C0F14" w:rsidRPr="001C0F14">
              <w:rPr>
                <w:b w:val="0"/>
              </w:rPr>
              <w:t>. Those resellers can provide a certain percentage (e.g. 1%, 10%) of the Twitter data related to keywords of choice.</w:t>
            </w:r>
          </w:p>
          <w:p w:rsidR="00E3228F" w:rsidRPr="00DA52B4" w:rsidRDefault="0027450B" w:rsidP="00E3228F">
            <w:pPr>
              <w:rPr>
                <w:b w:val="0"/>
                <w:u w:val="single"/>
              </w:rPr>
            </w:pPr>
            <w:r>
              <w:rPr>
                <w:b w:val="0"/>
                <w:u w:val="single"/>
              </w:rPr>
              <w:t>Availability: Identify a reseller and pricing by July</w:t>
            </w:r>
            <w:r w:rsidR="005F3776">
              <w:rPr>
                <w:b w:val="0"/>
                <w:u w:val="single"/>
              </w:rPr>
              <w:t xml:space="preserve"> or earlier</w:t>
            </w:r>
            <w:r>
              <w:rPr>
                <w:b w:val="0"/>
                <w:u w:val="single"/>
              </w:rPr>
              <w:t>; data available at start of contract</w:t>
            </w:r>
          </w:p>
          <w:p w:rsidR="00AE5C3E" w:rsidRDefault="00ED3095" w:rsidP="00AE5C3E">
            <w:pPr>
              <w:rPr>
                <w:b w:val="0"/>
              </w:rPr>
            </w:pPr>
            <w:r>
              <w:rPr>
                <w:b w:val="0"/>
              </w:rPr>
              <w:t>To account for the demographic difference</w:t>
            </w:r>
            <w:r w:rsidR="008F7C61">
              <w:rPr>
                <w:b w:val="0"/>
              </w:rPr>
              <w:t xml:space="preserve"> of T</w:t>
            </w:r>
            <w:r>
              <w:rPr>
                <w:b w:val="0"/>
              </w:rPr>
              <w:t xml:space="preserve">witter users from the general population, </w:t>
            </w:r>
            <w:r w:rsidR="00AE5C3E">
              <w:rPr>
                <w:b w:val="0"/>
              </w:rPr>
              <w:t>a study by Pew Research</w:t>
            </w:r>
            <w:r w:rsidR="008F7C61">
              <w:rPr>
                <w:b w:val="0"/>
              </w:rPr>
              <w:t xml:space="preserve">, which </w:t>
            </w:r>
            <w:r w:rsidR="00AE5C3E">
              <w:rPr>
                <w:b w:val="0"/>
              </w:rPr>
              <w:t xml:space="preserve">summarizes the demographics of Twitter users </w:t>
            </w:r>
            <w:r w:rsidR="008F7C61">
              <w:rPr>
                <w:b w:val="0"/>
              </w:rPr>
              <w:t xml:space="preserve">in terms of </w:t>
            </w:r>
            <w:r w:rsidR="00AE5C3E" w:rsidRPr="00AE5C3E">
              <w:rPr>
                <w:b w:val="0"/>
              </w:rPr>
              <w:t>gender, race, education and income</w:t>
            </w:r>
            <w:r w:rsidR="008F7C61">
              <w:rPr>
                <w:b w:val="0"/>
              </w:rPr>
              <w:t xml:space="preserve"> level, can be used.</w:t>
            </w:r>
            <w:r w:rsidR="00D9183B">
              <w:rPr>
                <w:b w:val="0"/>
              </w:rPr>
              <w:t xml:space="preserve"> The demographic information can be used</w:t>
            </w:r>
            <w:r w:rsidR="00D9183B" w:rsidRPr="00DA52B4">
              <w:rPr>
                <w:b w:val="0"/>
              </w:rPr>
              <w:t xml:space="preserve"> to correct some Twitter sampling bias by normalizing the tweet counts base</w:t>
            </w:r>
            <w:r w:rsidR="00D9183B">
              <w:rPr>
                <w:b w:val="0"/>
              </w:rPr>
              <w:t xml:space="preserve">d on </w:t>
            </w:r>
            <w:r w:rsidR="005D430C">
              <w:rPr>
                <w:b w:val="0"/>
              </w:rPr>
              <w:t xml:space="preserve">the demographics of </w:t>
            </w:r>
            <w:r w:rsidR="00D9183B">
              <w:rPr>
                <w:b w:val="0"/>
              </w:rPr>
              <w:t xml:space="preserve">their corresponding </w:t>
            </w:r>
            <w:r w:rsidR="005D430C">
              <w:rPr>
                <w:b w:val="0"/>
              </w:rPr>
              <w:t>local populations</w:t>
            </w:r>
            <w:r w:rsidR="00D9183B" w:rsidRPr="00DA52B4">
              <w:rPr>
                <w:b w:val="0"/>
              </w:rPr>
              <w:t>.</w:t>
            </w:r>
          </w:p>
          <w:p w:rsidR="00060887" w:rsidRDefault="00AE5C3E" w:rsidP="00AE5C3E">
            <w:pPr>
              <w:rPr>
                <w:b w:val="0"/>
              </w:rPr>
            </w:pPr>
            <w:r>
              <w:rPr>
                <w:b w:val="0"/>
              </w:rPr>
              <w:t xml:space="preserve">Source: </w:t>
            </w:r>
            <w:hyperlink r:id="rId10" w:history="1">
              <w:r w:rsidR="00060887" w:rsidRPr="00060887">
                <w:rPr>
                  <w:rStyle w:val="Hyperlink"/>
                  <w:b w:val="0"/>
                </w:rPr>
                <w:t>http://www.pewinternet.org/2015/01/09/demographics-of-key-social-networking-platforms-2/</w:t>
              </w:r>
            </w:hyperlink>
          </w:p>
          <w:p w:rsidR="00AE5C3E" w:rsidRPr="005F3776" w:rsidRDefault="00AE5C3E" w:rsidP="00AE5C3E">
            <w:pPr>
              <w:rPr>
                <w:b w:val="0"/>
                <w:u w:val="single"/>
              </w:rPr>
            </w:pPr>
            <w:r w:rsidRPr="005F3776">
              <w:rPr>
                <w:b w:val="0"/>
                <w:u w:val="single"/>
              </w:rPr>
              <w:t>Availability: Now</w:t>
            </w:r>
          </w:p>
          <w:p w:rsidR="00BC13F0" w:rsidRDefault="00DA52B4" w:rsidP="00060887">
            <w:pPr>
              <w:rPr>
                <w:b w:val="0"/>
              </w:rPr>
            </w:pPr>
            <w:r w:rsidRPr="00DA52B4">
              <w:rPr>
                <w:b w:val="0"/>
              </w:rPr>
              <w:t xml:space="preserve">US Census Bureau </w:t>
            </w:r>
            <w:r w:rsidR="00D439D0">
              <w:rPr>
                <w:b w:val="0"/>
              </w:rPr>
              <w:t>has</w:t>
            </w:r>
            <w:r w:rsidRPr="00DA52B4">
              <w:rPr>
                <w:b w:val="0"/>
              </w:rPr>
              <w:t xml:space="preserve"> the demographic information of each county, including gender, race, education and income</w:t>
            </w:r>
            <w:r w:rsidR="00D439D0">
              <w:rPr>
                <w:b w:val="0"/>
              </w:rPr>
              <w:t xml:space="preserve"> level</w:t>
            </w:r>
            <w:r w:rsidR="00D9183B">
              <w:rPr>
                <w:b w:val="0"/>
              </w:rPr>
              <w:t>.</w:t>
            </w:r>
          </w:p>
          <w:p w:rsidR="00060887" w:rsidRDefault="00060887" w:rsidP="00060887">
            <w:pPr>
              <w:rPr>
                <w:b w:val="0"/>
              </w:rPr>
            </w:pPr>
            <w:r>
              <w:rPr>
                <w:b w:val="0"/>
              </w:rPr>
              <w:t>Source:</w:t>
            </w:r>
            <w:r w:rsidRPr="00060887">
              <w:rPr>
                <w:b w:val="0"/>
              </w:rPr>
              <w:t xml:space="preserve"> </w:t>
            </w:r>
            <w:hyperlink r:id="rId11" w:history="1">
              <w:r w:rsidRPr="00060887">
                <w:rPr>
                  <w:rStyle w:val="Hyperlink"/>
                  <w:b w:val="0"/>
                </w:rPr>
                <w:t>http://quickfacts.census.gov/qfd/download_data.html</w:t>
              </w:r>
            </w:hyperlink>
          </w:p>
          <w:p w:rsidR="00060887" w:rsidRPr="005F3776" w:rsidRDefault="00D439D0" w:rsidP="00060887">
            <w:pPr>
              <w:rPr>
                <w:b w:val="0"/>
                <w:u w:val="single"/>
              </w:rPr>
            </w:pPr>
            <w:r w:rsidRPr="005F3776">
              <w:rPr>
                <w:b w:val="0"/>
                <w:u w:val="single"/>
              </w:rPr>
              <w:t>Availability: Now</w:t>
            </w:r>
          </w:p>
        </w:tc>
      </w:tr>
      <w:tr w:rsidR="00116AB1" w:rsidTr="00D439D0">
        <w:trPr>
          <w:cnfStyle w:val="000000100000"/>
        </w:trPr>
        <w:tc>
          <w:tcPr>
            <w:cnfStyle w:val="001000000000"/>
            <w:tcW w:w="9576" w:type="dxa"/>
          </w:tcPr>
          <w:p w:rsidR="00116AB1" w:rsidRPr="006E3505" w:rsidRDefault="00B9436A" w:rsidP="00AD19A5">
            <w:pPr>
              <w:rPr>
                <w:b w:val="0"/>
              </w:rPr>
            </w:pPr>
            <w:r>
              <w:rPr>
                <w:b w:val="0"/>
              </w:rPr>
              <w:t>Transportation Data</w:t>
            </w:r>
          </w:p>
        </w:tc>
      </w:tr>
      <w:tr w:rsidR="00116AB1" w:rsidTr="00D439D0">
        <w:trPr>
          <w:cnfStyle w:val="000000010000"/>
        </w:trPr>
        <w:tc>
          <w:tcPr>
            <w:cnfStyle w:val="001000000000"/>
            <w:tcW w:w="9576" w:type="dxa"/>
          </w:tcPr>
          <w:p w:rsidR="00EF1FDE" w:rsidRDefault="00EF1FDE" w:rsidP="00B9436A">
            <w:pPr>
              <w:rPr>
                <w:b w:val="0"/>
              </w:rPr>
            </w:pPr>
            <w:r w:rsidRPr="00EF1FDE">
              <w:rPr>
                <w:b w:val="0"/>
              </w:rPr>
              <w:t>Connecting flights between airports are an indicator of connectedness between regions and indirectl</w:t>
            </w:r>
            <w:r w:rsidR="00183031">
              <w:rPr>
                <w:b w:val="0"/>
              </w:rPr>
              <w:t>y influence</w:t>
            </w:r>
            <w:r w:rsidRPr="00EF1FDE">
              <w:rPr>
                <w:b w:val="0"/>
              </w:rPr>
              <w:t xml:space="preserve"> how fast an epidemic may spread among regions.</w:t>
            </w:r>
            <w:r>
              <w:rPr>
                <w:b w:val="0"/>
              </w:rPr>
              <w:t xml:space="preserve"> Airline routes and airport locations are available for incorporating such information.</w:t>
            </w:r>
          </w:p>
          <w:p w:rsidR="00B9436A" w:rsidRDefault="00B9436A" w:rsidP="00B9436A">
            <w:pPr>
              <w:rPr>
                <w:b w:val="0"/>
              </w:rPr>
            </w:pPr>
            <w:r>
              <w:rPr>
                <w:b w:val="0"/>
              </w:rPr>
              <w:t>Source</w:t>
            </w:r>
            <w:r w:rsidRPr="00B9436A">
              <w:rPr>
                <w:b w:val="0"/>
              </w:rPr>
              <w:t xml:space="preserve">: </w:t>
            </w:r>
            <w:hyperlink r:id="rId12" w:history="1">
              <w:r w:rsidRPr="00B9436A">
                <w:rPr>
                  <w:rStyle w:val="Hyperlink"/>
                  <w:b w:val="0"/>
                </w:rPr>
                <w:t>http://openflights.org/data.html</w:t>
              </w:r>
            </w:hyperlink>
          </w:p>
          <w:p w:rsidR="00B9436A" w:rsidRPr="00EC476F" w:rsidRDefault="00B9436A" w:rsidP="00B9436A">
            <w:pPr>
              <w:rPr>
                <w:b w:val="0"/>
                <w:u w:val="single"/>
              </w:rPr>
            </w:pPr>
            <w:r w:rsidRPr="00EC476F">
              <w:rPr>
                <w:b w:val="0"/>
                <w:u w:val="single"/>
              </w:rPr>
              <w:t>Availability: Now</w:t>
            </w:r>
          </w:p>
        </w:tc>
      </w:tr>
      <w:tr w:rsidR="00116AB1" w:rsidTr="00D439D0">
        <w:trPr>
          <w:cnfStyle w:val="000000100000"/>
        </w:trPr>
        <w:tc>
          <w:tcPr>
            <w:cnfStyle w:val="001000000000"/>
            <w:tcW w:w="9576" w:type="dxa"/>
          </w:tcPr>
          <w:p w:rsidR="00116AB1" w:rsidRPr="006E3505" w:rsidRDefault="00EF1FDE" w:rsidP="00AD19A5">
            <w:pPr>
              <w:rPr>
                <w:b w:val="0"/>
              </w:rPr>
            </w:pPr>
            <w:r>
              <w:rPr>
                <w:b w:val="0"/>
              </w:rPr>
              <w:t>Weather Data</w:t>
            </w:r>
          </w:p>
        </w:tc>
      </w:tr>
      <w:tr w:rsidR="00EF1FDE" w:rsidTr="00D439D0">
        <w:trPr>
          <w:cnfStyle w:val="000000010000"/>
        </w:trPr>
        <w:tc>
          <w:tcPr>
            <w:cnfStyle w:val="001000000000"/>
            <w:tcW w:w="9576" w:type="dxa"/>
          </w:tcPr>
          <w:p w:rsidR="00EF1FDE" w:rsidRDefault="00161A01" w:rsidP="00AD19A5">
            <w:pPr>
              <w:rPr>
                <w:b w:val="0"/>
              </w:rPr>
            </w:pPr>
            <w:r>
              <w:rPr>
                <w:b w:val="0"/>
              </w:rPr>
              <w:t>Local weather</w:t>
            </w:r>
            <w:r w:rsidRPr="00161A01">
              <w:rPr>
                <w:b w:val="0"/>
              </w:rPr>
              <w:t xml:space="preserve"> data such as temp</w:t>
            </w:r>
            <w:r>
              <w:rPr>
                <w:b w:val="0"/>
              </w:rPr>
              <w:t>erature and humidity are related to flu transmission and hence</w:t>
            </w:r>
            <w:r w:rsidRPr="00161A01">
              <w:rPr>
                <w:b w:val="0"/>
              </w:rPr>
              <w:t xml:space="preserve"> ILI cases.</w:t>
            </w:r>
            <w:r w:rsidR="007777F2">
              <w:rPr>
                <w:b w:val="0"/>
              </w:rPr>
              <w:t xml:space="preserve"> </w:t>
            </w:r>
            <w:r w:rsidR="007777F2" w:rsidRPr="007777F2">
              <w:rPr>
                <w:b w:val="0"/>
              </w:rPr>
              <w:t xml:space="preserve">Weather data is available from NOAA’s National Climatic Data Center (NCDC). </w:t>
            </w:r>
            <w:r w:rsidR="00AA3953">
              <w:rPr>
                <w:b w:val="0"/>
              </w:rPr>
              <w:t>NOAA aggregates such data from thousands of stations around the country with records going back for decades. Upon request, it will take 24-36 hours for NOAA to prepare the data for download</w:t>
            </w:r>
            <w:r w:rsidR="007777F2" w:rsidRPr="007777F2">
              <w:rPr>
                <w:b w:val="0"/>
              </w:rPr>
              <w:t>.</w:t>
            </w:r>
          </w:p>
          <w:p w:rsidR="009A5590" w:rsidRDefault="009A5590" w:rsidP="00AD19A5">
            <w:pPr>
              <w:rPr>
                <w:b w:val="0"/>
              </w:rPr>
            </w:pPr>
            <w:r>
              <w:rPr>
                <w:b w:val="0"/>
              </w:rPr>
              <w:t xml:space="preserve">Source: </w:t>
            </w:r>
            <w:hyperlink r:id="rId13" w:history="1">
              <w:r w:rsidR="00AA3953" w:rsidRPr="00AA3953">
                <w:rPr>
                  <w:rStyle w:val="Hyperlink"/>
                  <w:b w:val="0"/>
                </w:rPr>
                <w:t>https://www.ncdc.noaa.gov/cdo-web/datatools/selectlocation</w:t>
              </w:r>
            </w:hyperlink>
          </w:p>
          <w:p w:rsidR="00AA3953" w:rsidRPr="003F766E" w:rsidRDefault="00AA3953" w:rsidP="00AD19A5">
            <w:pPr>
              <w:rPr>
                <w:b w:val="0"/>
                <w:u w:val="single"/>
              </w:rPr>
            </w:pPr>
            <w:r w:rsidRPr="003F766E">
              <w:rPr>
                <w:b w:val="0"/>
                <w:u w:val="single"/>
              </w:rPr>
              <w:t xml:space="preserve">Availability: </w:t>
            </w:r>
            <w:r w:rsidR="00B2633D" w:rsidRPr="003F766E">
              <w:rPr>
                <w:b w:val="0"/>
                <w:u w:val="single"/>
              </w:rPr>
              <w:t>Most recent years are available now; Earlier years can be available within a few days after request.</w:t>
            </w:r>
          </w:p>
        </w:tc>
      </w:tr>
      <w:tr w:rsidR="0047646C" w:rsidTr="00D439D0">
        <w:trPr>
          <w:cnfStyle w:val="000000100000"/>
        </w:trPr>
        <w:tc>
          <w:tcPr>
            <w:cnfStyle w:val="001000000000"/>
            <w:tcW w:w="9576" w:type="dxa"/>
          </w:tcPr>
          <w:p w:rsidR="0047646C" w:rsidRDefault="0047646C" w:rsidP="00AD19A5">
            <w:pPr>
              <w:rPr>
                <w:b w:val="0"/>
              </w:rPr>
            </w:pPr>
            <w:r>
              <w:rPr>
                <w:b w:val="0"/>
              </w:rPr>
              <w:t>Flu Vaccination Data</w:t>
            </w:r>
          </w:p>
        </w:tc>
      </w:tr>
      <w:tr w:rsidR="0047646C" w:rsidTr="00D439D0">
        <w:trPr>
          <w:cnfStyle w:val="000000010000"/>
        </w:trPr>
        <w:tc>
          <w:tcPr>
            <w:cnfStyle w:val="001000000000"/>
            <w:tcW w:w="9576" w:type="dxa"/>
          </w:tcPr>
          <w:p w:rsidR="0039450D" w:rsidRDefault="00CA5747" w:rsidP="00AD19A5">
            <w:pPr>
              <w:rPr>
                <w:b w:val="0"/>
              </w:rPr>
            </w:pPr>
            <w:r>
              <w:rPr>
                <w:b w:val="0"/>
              </w:rPr>
              <w:lastRenderedPageBreak/>
              <w:t xml:space="preserve">People receiving flu vaccines lower the </w:t>
            </w:r>
            <w:r w:rsidR="0095781D">
              <w:rPr>
                <w:b w:val="0"/>
              </w:rPr>
              <w:t>percentage of population</w:t>
            </w:r>
            <w:r>
              <w:rPr>
                <w:b w:val="0"/>
              </w:rPr>
              <w:t xml:space="preserve"> susceptible to flu</w:t>
            </w:r>
            <w:r w:rsidR="00EC476F">
              <w:rPr>
                <w:b w:val="0"/>
              </w:rPr>
              <w:t>,</w:t>
            </w:r>
            <w:r>
              <w:rPr>
                <w:b w:val="0"/>
              </w:rPr>
              <w:t xml:space="preserve"> or have milder symptoms when they are infected</w:t>
            </w:r>
            <w:r w:rsidR="00BB6608">
              <w:rPr>
                <w:b w:val="0"/>
              </w:rPr>
              <w:t xml:space="preserve"> with flu viruses</w:t>
            </w:r>
            <w:r w:rsidR="00AF114E">
              <w:rPr>
                <w:b w:val="0"/>
              </w:rPr>
              <w:t>, which in turn reduce reported ILI cases</w:t>
            </w:r>
            <w:r>
              <w:rPr>
                <w:b w:val="0"/>
              </w:rPr>
              <w:t>.</w:t>
            </w:r>
            <w:r w:rsidR="00AF114E">
              <w:rPr>
                <w:b w:val="0"/>
              </w:rPr>
              <w:t xml:space="preserve"> </w:t>
            </w:r>
            <w:r>
              <w:rPr>
                <w:b w:val="0"/>
              </w:rPr>
              <w:t xml:space="preserve">Hence, the flu vaccination data </w:t>
            </w:r>
            <w:r w:rsidR="00397193">
              <w:rPr>
                <w:b w:val="0"/>
              </w:rPr>
              <w:t>may have strong predictive power for future ILI cases.</w:t>
            </w:r>
          </w:p>
          <w:p w:rsidR="0047646C" w:rsidRDefault="0039450D" w:rsidP="00AD19A5">
            <w:pPr>
              <w:rPr>
                <w:b w:val="0"/>
              </w:rPr>
            </w:pPr>
            <w:r>
              <w:rPr>
                <w:b w:val="0"/>
              </w:rPr>
              <w:t>HHS maintains</w:t>
            </w:r>
            <w:r w:rsidRPr="0039450D">
              <w:rPr>
                <w:b w:val="0"/>
              </w:rPr>
              <w:t xml:space="preserve"> flu vaccination claims data </w:t>
            </w:r>
            <w:r w:rsidR="00E63F62">
              <w:rPr>
                <w:b w:val="0"/>
              </w:rPr>
              <w:t xml:space="preserve">(2012-2015) </w:t>
            </w:r>
            <w:r w:rsidRPr="0039450D">
              <w:rPr>
                <w:b w:val="0"/>
              </w:rPr>
              <w:t>“for those covered by Medicare Fee-for-Service” with about 2 weeks of delay “for every state, county and zip code in the United States.”</w:t>
            </w:r>
            <w:r>
              <w:rPr>
                <w:b w:val="0"/>
              </w:rPr>
              <w:t xml:space="preserve"> Since the HHS </w:t>
            </w:r>
            <w:r w:rsidRPr="0039450D">
              <w:rPr>
                <w:b w:val="0"/>
              </w:rPr>
              <w:t>data contains only Medic</w:t>
            </w:r>
            <w:r>
              <w:rPr>
                <w:b w:val="0"/>
              </w:rPr>
              <w:t>are claims, the majority of the claims are for</w:t>
            </w:r>
            <w:r w:rsidRPr="0039450D">
              <w:rPr>
                <w:b w:val="0"/>
              </w:rPr>
              <w:t xml:space="preserve"> Americans 65 and over.</w:t>
            </w:r>
          </w:p>
          <w:p w:rsidR="0039450D" w:rsidRDefault="0039450D" w:rsidP="00AD19A5">
            <w:pPr>
              <w:rPr>
                <w:b w:val="0"/>
              </w:rPr>
            </w:pPr>
            <w:r>
              <w:rPr>
                <w:b w:val="0"/>
              </w:rPr>
              <w:t xml:space="preserve">Source: </w:t>
            </w:r>
            <w:hyperlink r:id="rId14" w:history="1">
              <w:r w:rsidR="00BC6F17" w:rsidRPr="00BC6F17">
                <w:rPr>
                  <w:rStyle w:val="Hyperlink"/>
                  <w:b w:val="0"/>
                </w:rPr>
                <w:t>http://www.hhs.gov/nvpo/flu-vaccination-map/</w:t>
              </w:r>
            </w:hyperlink>
          </w:p>
          <w:p w:rsidR="00BC6F17" w:rsidRPr="002D14CA" w:rsidRDefault="00BC6F17" w:rsidP="00AD19A5">
            <w:pPr>
              <w:rPr>
                <w:b w:val="0"/>
                <w:u w:val="single"/>
              </w:rPr>
            </w:pPr>
            <w:r w:rsidRPr="002D14CA">
              <w:rPr>
                <w:b w:val="0"/>
                <w:u w:val="single"/>
              </w:rPr>
              <w:t xml:space="preserve">Availability: </w:t>
            </w:r>
            <w:r w:rsidR="00C84588" w:rsidRPr="002D14CA">
              <w:rPr>
                <w:b w:val="0"/>
                <w:u w:val="single"/>
              </w:rPr>
              <w:t>State level data available now; individual counties over time upon request</w:t>
            </w:r>
          </w:p>
          <w:p w:rsidR="008644E6" w:rsidRDefault="008644E6" w:rsidP="00AD19A5">
            <w:pPr>
              <w:rPr>
                <w:b w:val="0"/>
              </w:rPr>
            </w:pPr>
            <w:r w:rsidRPr="008644E6">
              <w:rPr>
                <w:b w:val="0"/>
              </w:rPr>
              <w:t>CDC has flu vaccination data for th</w:t>
            </w:r>
            <w:r w:rsidR="002833CF">
              <w:rPr>
                <w:b w:val="0"/>
              </w:rPr>
              <w:t>e general population</w:t>
            </w:r>
            <w:r w:rsidR="000F6419">
              <w:rPr>
                <w:b w:val="0"/>
              </w:rPr>
              <w:t xml:space="preserve"> divided by state and age group</w:t>
            </w:r>
            <w:r w:rsidR="002833CF">
              <w:rPr>
                <w:b w:val="0"/>
              </w:rPr>
              <w:t>. I</w:t>
            </w:r>
            <w:r w:rsidRPr="008644E6">
              <w:rPr>
                <w:b w:val="0"/>
              </w:rPr>
              <w:t xml:space="preserve">t is conducted by surveys </w:t>
            </w:r>
            <w:r w:rsidR="002833CF">
              <w:rPr>
                <w:b w:val="0"/>
              </w:rPr>
              <w:t>at the end of a flu season.</w:t>
            </w:r>
          </w:p>
          <w:p w:rsidR="000F6419" w:rsidRDefault="008644E6" w:rsidP="00AD19A5">
            <w:pPr>
              <w:rPr>
                <w:b w:val="0"/>
              </w:rPr>
            </w:pPr>
            <w:r>
              <w:rPr>
                <w:b w:val="0"/>
              </w:rPr>
              <w:t xml:space="preserve">Source: </w:t>
            </w:r>
            <w:hyperlink r:id="rId15" w:history="1">
              <w:r w:rsidR="000F6419" w:rsidRPr="000F6419">
                <w:rPr>
                  <w:rStyle w:val="Hyperlink"/>
                  <w:b w:val="0"/>
                </w:rPr>
                <w:t>http://www.cdc.gov/flu/fluvaxview/reports/reporti1314/trends/index.htm</w:t>
              </w:r>
            </w:hyperlink>
          </w:p>
          <w:p w:rsidR="00F04F61" w:rsidRPr="00470038" w:rsidRDefault="00F04F61" w:rsidP="00AD19A5">
            <w:pPr>
              <w:rPr>
                <w:b w:val="0"/>
                <w:u w:val="single"/>
              </w:rPr>
            </w:pPr>
            <w:r w:rsidRPr="00470038">
              <w:rPr>
                <w:b w:val="0"/>
                <w:u w:val="single"/>
              </w:rPr>
              <w:t>Availability: Now</w:t>
            </w:r>
          </w:p>
        </w:tc>
      </w:tr>
      <w:tr w:rsidR="00F04F61" w:rsidTr="00D439D0">
        <w:trPr>
          <w:cnfStyle w:val="000000100000"/>
        </w:trPr>
        <w:tc>
          <w:tcPr>
            <w:cnfStyle w:val="001000000000"/>
            <w:tcW w:w="9576" w:type="dxa"/>
          </w:tcPr>
          <w:p w:rsidR="00F04F61" w:rsidRDefault="00F04F61" w:rsidP="00AD19A5">
            <w:pPr>
              <w:rPr>
                <w:b w:val="0"/>
              </w:rPr>
            </w:pPr>
            <w:r>
              <w:rPr>
                <w:b w:val="0"/>
              </w:rPr>
              <w:t>Retail Data</w:t>
            </w:r>
          </w:p>
        </w:tc>
      </w:tr>
      <w:tr w:rsidR="00F04F61" w:rsidTr="00D439D0">
        <w:trPr>
          <w:cnfStyle w:val="000000010000"/>
        </w:trPr>
        <w:tc>
          <w:tcPr>
            <w:cnfStyle w:val="001000000000"/>
            <w:tcW w:w="9576" w:type="dxa"/>
          </w:tcPr>
          <w:p w:rsidR="00F04F61" w:rsidRDefault="008E6152" w:rsidP="008E6152">
            <w:pPr>
              <w:rPr>
                <w:b w:val="0"/>
              </w:rPr>
            </w:pPr>
            <w:r>
              <w:rPr>
                <w:b w:val="0"/>
              </w:rPr>
              <w:t>R</w:t>
            </w:r>
            <w:r w:rsidR="00524230" w:rsidRPr="00524230">
              <w:rPr>
                <w:b w:val="0"/>
              </w:rPr>
              <w:t xml:space="preserve">etail data of people buying flu-related medicine </w:t>
            </w:r>
            <w:r>
              <w:rPr>
                <w:b w:val="0"/>
              </w:rPr>
              <w:t xml:space="preserve">or </w:t>
            </w:r>
            <w:r w:rsidRPr="00524230">
              <w:rPr>
                <w:b w:val="0"/>
              </w:rPr>
              <w:t xml:space="preserve">receiving vaccination </w:t>
            </w:r>
            <w:r>
              <w:rPr>
                <w:b w:val="0"/>
              </w:rPr>
              <w:t xml:space="preserve">from national chains </w:t>
            </w:r>
            <w:r w:rsidR="00524230" w:rsidRPr="00524230">
              <w:rPr>
                <w:b w:val="0"/>
              </w:rPr>
              <w:t>such as CVS or Walgreen</w:t>
            </w:r>
            <w:r>
              <w:rPr>
                <w:b w:val="0"/>
              </w:rPr>
              <w:t>s reflect</w:t>
            </w:r>
            <w:r w:rsidR="002464A9">
              <w:rPr>
                <w:b w:val="0"/>
              </w:rPr>
              <w:t xml:space="preserve">s current status and </w:t>
            </w:r>
            <w:r w:rsidR="00895D7B">
              <w:rPr>
                <w:b w:val="0"/>
              </w:rPr>
              <w:t xml:space="preserve">provides indication for </w:t>
            </w:r>
            <w:r w:rsidR="002464A9">
              <w:rPr>
                <w:b w:val="0"/>
              </w:rPr>
              <w:t xml:space="preserve">future </w:t>
            </w:r>
            <w:r w:rsidR="00895D7B">
              <w:rPr>
                <w:b w:val="0"/>
              </w:rPr>
              <w:t xml:space="preserve">cases. </w:t>
            </w:r>
            <w:r w:rsidR="00524230" w:rsidRPr="00524230">
              <w:rPr>
                <w:b w:val="0"/>
              </w:rPr>
              <w:t>Walgreen</w:t>
            </w:r>
            <w:r w:rsidR="00895D7B">
              <w:rPr>
                <w:b w:val="0"/>
              </w:rPr>
              <w:t>s</w:t>
            </w:r>
            <w:r w:rsidR="00524230" w:rsidRPr="00524230">
              <w:rPr>
                <w:b w:val="0"/>
              </w:rPr>
              <w:t xml:space="preserve"> publishes Walgreens Flu Index every week “by tallying the retail prescription data for the pharmacy’s antiviral me</w:t>
            </w:r>
            <w:r w:rsidR="00DC5D62">
              <w:rPr>
                <w:b w:val="0"/>
              </w:rPr>
              <w:t>dications” of the previous week</w:t>
            </w:r>
            <w:r w:rsidR="00895D7B">
              <w:rPr>
                <w:b w:val="0"/>
              </w:rPr>
              <w:t>.</w:t>
            </w:r>
          </w:p>
          <w:p w:rsidR="00895D7B" w:rsidRPr="00DC5D62" w:rsidRDefault="00895D7B" w:rsidP="00DC5D62">
            <w:pPr>
              <w:rPr>
                <w:b w:val="0"/>
                <w:u w:val="single"/>
              </w:rPr>
            </w:pPr>
            <w:r w:rsidRPr="00DC5D62">
              <w:rPr>
                <w:b w:val="0"/>
                <w:u w:val="single"/>
              </w:rPr>
              <w:t xml:space="preserve">Availability: </w:t>
            </w:r>
            <w:r w:rsidR="00DC5D62">
              <w:rPr>
                <w:b w:val="0"/>
                <w:u w:val="single"/>
              </w:rPr>
              <w:t>Determine by August if such data can be available for research</w:t>
            </w:r>
          </w:p>
        </w:tc>
      </w:tr>
    </w:tbl>
    <w:p w:rsidR="00AD19A5" w:rsidRPr="00AD19A5" w:rsidRDefault="00AD19A5" w:rsidP="00AD19A5"/>
    <w:p w:rsidR="007E5792" w:rsidRDefault="007E5792" w:rsidP="007E5792">
      <w:pPr>
        <w:pStyle w:val="Heading1"/>
        <w:rPr>
          <w:rFonts w:eastAsia="Times New Roman"/>
        </w:rPr>
      </w:pPr>
      <w:proofErr w:type="spellStart"/>
      <w:r>
        <w:rPr>
          <w:rFonts w:eastAsia="Times New Roman"/>
        </w:rPr>
        <w:t>Spatio</w:t>
      </w:r>
      <w:proofErr w:type="spellEnd"/>
      <w:r>
        <w:rPr>
          <w:rFonts w:eastAsia="Times New Roman"/>
        </w:rPr>
        <w:t>-temporal Model</w:t>
      </w:r>
    </w:p>
    <w:p w:rsidR="007E5792" w:rsidRDefault="007E5792" w:rsidP="007E5792">
      <w:r>
        <w:t>Our current Bayesian hierarchical model captures various effects commonly present in temporally and geographically referenced data. The model can describe spatial clustering and temporal correlations, as well as periodic temporal fluctuation often present in temporal data. For effects that are caused by known factors, we also incorporate the fixed-effects term to capture their influence on the observations, in addition to the spatial and temporal random effects. The model has been developed with computational concerns in mind. The use of Gaussian Markov Random Field (GMRF) in modeling the random effects allows this approach to take full advantage of the spatial and temporal correlations while still maintaining manageable memory usage. The specific model structure is below:</w:t>
      </w:r>
    </w:p>
    <w:tbl>
      <w:tblPr>
        <w:tblStyle w:val="MediumGrid1-Accent3"/>
        <w:tblW w:w="0" w:type="auto"/>
        <w:tblLook w:val="04A0"/>
      </w:tblPr>
      <w:tblGrid>
        <w:gridCol w:w="2988"/>
        <w:gridCol w:w="6588"/>
      </w:tblGrid>
      <w:tr w:rsidR="007E5792" w:rsidTr="00984D30">
        <w:trPr>
          <w:cnfStyle w:val="100000000000"/>
        </w:trPr>
        <w:tc>
          <w:tcPr>
            <w:cnfStyle w:val="001000000000"/>
            <w:tcW w:w="2988" w:type="dxa"/>
            <w:vAlign w:val="center"/>
          </w:tcPr>
          <w:p w:rsidR="007E5792" w:rsidRDefault="007E5792" w:rsidP="00984D30">
            <w:pPr>
              <w:spacing w:line="360" w:lineRule="auto"/>
            </w:pPr>
            <w:r>
              <w:t>Observations</w:t>
            </w:r>
          </w:p>
        </w:tc>
        <w:tc>
          <w:tcPr>
            <w:tcW w:w="6588" w:type="dxa"/>
            <w:vAlign w:val="center"/>
          </w:tcPr>
          <w:p w:rsidR="007E5792" w:rsidRPr="00FA283B" w:rsidRDefault="003C2753" w:rsidP="00984D30">
            <w:pPr>
              <w:spacing w:line="360" w:lineRule="auto"/>
              <w:cnfStyle w:val="100000000000"/>
              <w:rPr>
                <w:b w:val="0"/>
              </w:rPr>
            </w:pPr>
            <m:oMathPara>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 xml:space="preserve">s,t </m:t>
                    </m:r>
                  </m:sub>
                </m:sSub>
                <m:r>
                  <m:rPr>
                    <m:sty m:val="bi"/>
                  </m:rPr>
                  <w:rPr>
                    <w:rFonts w:ascii="Cambria Math" w:hAnsi="Cambria Math"/>
                  </w:rPr>
                  <m:t xml:space="preserve"> ~ </m:t>
                </m:r>
                <m:r>
                  <m:rPr>
                    <m:sty m:val="b"/>
                  </m:rPr>
                  <w:rPr>
                    <w:rFonts w:ascii="Cambria Math" w:hAnsi="Cambria Math"/>
                  </w:rPr>
                  <m:t>Dist</m:t>
                </m:r>
                <m:r>
                  <m:rPr>
                    <m:sty m:val="b"/>
                  </m:rPr>
                  <w:rPr>
                    <w:rFonts w:ascii="Cambria Math" w:hAnsi="Cambria Math"/>
                  </w:rPr>
                  <m:t xml:space="preserve">ribution </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μ</m:t>
                        </m:r>
                      </m:e>
                      <m:sub>
                        <m:r>
                          <m:rPr>
                            <m:sty m:val="bi"/>
                          </m:rPr>
                          <w:rPr>
                            <w:rFonts w:ascii="Cambria Math" w:hAnsi="Cambria Math"/>
                          </w:rPr>
                          <m:t>s,t</m:t>
                        </m:r>
                      </m:sub>
                    </m:sSub>
                  </m:e>
                </m:d>
              </m:oMath>
            </m:oMathPara>
          </w:p>
        </w:tc>
      </w:tr>
      <w:tr w:rsidR="007E5792" w:rsidTr="00984D30">
        <w:trPr>
          <w:cnfStyle w:val="000000100000"/>
        </w:trPr>
        <w:tc>
          <w:tcPr>
            <w:cnfStyle w:val="001000000000"/>
            <w:tcW w:w="2988" w:type="dxa"/>
            <w:vAlign w:val="center"/>
          </w:tcPr>
          <w:p w:rsidR="007E5792" w:rsidRDefault="007E5792" w:rsidP="00984D30">
            <w:pPr>
              <w:spacing w:line="360" w:lineRule="auto"/>
            </w:pPr>
            <w:r>
              <w:t>Link Function</w:t>
            </w:r>
          </w:p>
        </w:tc>
        <w:tc>
          <w:tcPr>
            <w:tcW w:w="6588" w:type="dxa"/>
            <w:vAlign w:val="center"/>
          </w:tcPr>
          <w:p w:rsidR="007E5792" w:rsidRDefault="007E5792" w:rsidP="003334A3">
            <w:pPr>
              <w:spacing w:line="360" w:lineRule="auto"/>
              <w:cnfStyle w:val="000000100000"/>
            </w:pPr>
            <m:oMathPara>
              <m:oMath>
                <m:r>
                  <m:rPr>
                    <m:sty m:val="b"/>
                  </m:rPr>
                  <w:rPr>
                    <w:rFonts w:ascii="Cambria Math" w:hAnsi="Cambria Math"/>
                  </w:rPr>
                  <m:t>Link(</m:t>
                </m:r>
                <m:sSub>
                  <m:sSubPr>
                    <m:ctrlPr>
                      <w:rPr>
                        <w:rFonts w:ascii="Cambria Math" w:hAnsi="Cambria Math"/>
                        <w:i/>
                      </w:rPr>
                    </m:ctrlPr>
                  </m:sSubPr>
                  <m:e>
                    <m:r>
                      <w:rPr>
                        <w:rFonts w:ascii="Cambria Math" w:hAnsi="Cambria Math"/>
                      </w:rPr>
                      <m:t>μ</m:t>
                    </m:r>
                  </m:e>
                  <m:sub>
                    <m:r>
                      <w:rPr>
                        <w:rFonts w:ascii="Cambria Math" w:hAnsi="Cambria Math"/>
                      </w:rPr>
                      <m:t>s,t</m:t>
                    </m:r>
                  </m:sub>
                </m:sSub>
                <m:r>
                  <w:rPr>
                    <w:rFonts w:ascii="Cambria Math" w:hAnsi="Cambria Math"/>
                  </w:rPr>
                  <m:t xml:space="preserve">)= </m:t>
                </m:r>
                <m:sSup>
                  <m:sSupPr>
                    <m:ctrlPr>
                      <w:rPr>
                        <w:rFonts w:ascii="Cambria Math" w:hAnsi="Cambria Math"/>
                        <w:i/>
                      </w:rPr>
                    </m:ctrlPr>
                  </m:sSupPr>
                  <m:e>
                    <m:r>
                      <w:rPr>
                        <w:rFonts w:ascii="Cambria Math" w:hAnsi="Cambria Math"/>
                      </w:rPr>
                      <m:t>β</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s,t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s,t</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tc>
      </w:tr>
      <w:tr w:rsidR="007E5792" w:rsidTr="00984D30">
        <w:trPr>
          <w:trHeight w:val="368"/>
        </w:trPr>
        <w:tc>
          <w:tcPr>
            <w:cnfStyle w:val="001000000000"/>
            <w:tcW w:w="2988" w:type="dxa"/>
            <w:vAlign w:val="center"/>
          </w:tcPr>
          <w:p w:rsidR="007E5792" w:rsidRDefault="007E5792" w:rsidP="00984D30">
            <w:pPr>
              <w:spacing w:line="360" w:lineRule="auto"/>
            </w:pPr>
            <w:r>
              <w:t>Fixed Effects</w:t>
            </w:r>
          </w:p>
        </w:tc>
        <w:tc>
          <w:tcPr>
            <w:tcW w:w="6588" w:type="dxa"/>
            <w:vAlign w:val="center"/>
          </w:tcPr>
          <w:p w:rsidR="007E5792" w:rsidRDefault="003C2753" w:rsidP="00984D30">
            <w:pPr>
              <w:spacing w:line="360" w:lineRule="auto"/>
              <w:cnfStyle w:val="000000000000"/>
            </w:pPr>
            <m:oMathPara>
              <m:oMath>
                <m:sSup>
                  <m:sSupPr>
                    <m:ctrlPr>
                      <w:rPr>
                        <w:rFonts w:ascii="Cambria Math" w:hAnsi="Cambria Math"/>
                        <w:i/>
                      </w:rPr>
                    </m:ctrlPr>
                  </m:sSupPr>
                  <m:e>
                    <m:r>
                      <w:rPr>
                        <w:rFonts w:ascii="Cambria Math" w:hAnsi="Cambria Math"/>
                      </w:rPr>
                      <m:t>β</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s,t</m:t>
                    </m:r>
                  </m:sub>
                </m:sSub>
              </m:oMath>
            </m:oMathPara>
          </w:p>
        </w:tc>
      </w:tr>
      <w:tr w:rsidR="007E5792" w:rsidTr="00984D30">
        <w:trPr>
          <w:cnfStyle w:val="000000100000"/>
          <w:trHeight w:val="367"/>
        </w:trPr>
        <w:tc>
          <w:tcPr>
            <w:cnfStyle w:val="001000000000"/>
            <w:tcW w:w="2988" w:type="dxa"/>
            <w:shd w:val="clear" w:color="auto" w:fill="EAF1DD" w:themeFill="accent3" w:themeFillTint="33"/>
            <w:vAlign w:val="center"/>
          </w:tcPr>
          <w:p w:rsidR="007E5792" w:rsidRDefault="007E5792" w:rsidP="00984D30">
            <w:pPr>
              <w:spacing w:line="360" w:lineRule="auto"/>
            </w:pPr>
            <w:proofErr w:type="spellStart"/>
            <w:r>
              <w:t>Spatio</w:t>
            </w:r>
            <w:proofErr w:type="spellEnd"/>
            <w:r>
              <w:t>-Temporal Effects</w:t>
            </w:r>
          </w:p>
        </w:tc>
        <w:tc>
          <w:tcPr>
            <w:tcW w:w="6588" w:type="dxa"/>
            <w:shd w:val="clear" w:color="auto" w:fill="E6EED5" w:themeFill="accent3" w:themeFillTint="3F"/>
            <w:vAlign w:val="center"/>
          </w:tcPr>
          <w:p w:rsidR="007E5792" w:rsidRPr="00AE425D" w:rsidRDefault="007E5792" w:rsidP="00984D30">
            <w:pPr>
              <w:spacing w:line="360" w:lineRule="auto"/>
              <w:cnfStyle w:val="00000010000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s,t</m:t>
                        </m:r>
                      </m:sub>
                    </m:sSub>
                  </m:e>
                </m:d>
                <m:r>
                  <w:rPr>
                    <w:rFonts w:ascii="Cambria Math" w:hAnsi="Cambria Math"/>
                  </w:rPr>
                  <m:t xml:space="preserve"> ∝ </m:t>
                </m:r>
                <m:sSup>
                  <m:sSupPr>
                    <m:ctrlPr>
                      <w:rPr>
                        <w:rFonts w:ascii="Cambria Math" w:hAnsi="Cambria Math"/>
                        <w:i/>
                      </w:rPr>
                    </m:ctrlPr>
                  </m:sSupPr>
                  <m:e>
                    <m:r>
                      <w:rPr>
                        <w:rFonts w:ascii="Cambria Math" w:hAnsi="Cambria Math"/>
                      </w:rPr>
                      <m:t>τ</m:t>
                    </m:r>
                  </m:e>
                  <m:sup>
                    <m:f>
                      <m:fPr>
                        <m:type m:val="lin"/>
                        <m:ctrlPr>
                          <w:rPr>
                            <w:rFonts w:ascii="Cambria Math" w:hAnsi="Cambria Math"/>
                            <w:i/>
                          </w:rPr>
                        </m:ctrlPr>
                      </m:fPr>
                      <m:num>
                        <m:r>
                          <w:rPr>
                            <w:rFonts w:ascii="Cambria Math" w:hAnsi="Cambria Math"/>
                          </w:rPr>
                          <m:t>(n-l)</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s,t</m:t>
                                </m:r>
                              </m:sub>
                            </m:sSub>
                          </m:e>
                          <m:sup>
                            <m:r>
                              <w:rPr>
                                <w:rFonts w:ascii="Cambria Math" w:hAnsi="Cambria Math"/>
                              </w:rPr>
                              <m:t>T</m:t>
                            </m:r>
                          </m:sup>
                        </m:sSup>
                        <m:r>
                          <w:rPr>
                            <w:rFonts w:ascii="Cambria Math" w:hAnsi="Cambria Math"/>
                          </w:rPr>
                          <m:t xml:space="preserve"> Q</m:t>
                        </m:r>
                        <m:sSub>
                          <m:sSubPr>
                            <m:ctrlPr>
                              <w:rPr>
                                <w:rFonts w:ascii="Cambria Math" w:hAnsi="Cambria Math"/>
                                <w:i/>
                              </w:rPr>
                            </m:ctrlPr>
                          </m:sSubPr>
                          <m:e>
                            <m:r>
                              <w:rPr>
                                <w:rFonts w:ascii="Cambria Math" w:hAnsi="Cambria Math"/>
                              </w:rPr>
                              <m:t xml:space="preserve"> Y</m:t>
                            </m:r>
                          </m:e>
                          <m:sub>
                            <m:r>
                              <w:rPr>
                                <w:rFonts w:ascii="Cambria Math" w:hAnsi="Cambria Math"/>
                              </w:rPr>
                              <m:t>s,t</m:t>
                            </m:r>
                          </m:sub>
                        </m:sSub>
                      </m:e>
                    </m:d>
                  </m:e>
                </m:func>
              </m:oMath>
            </m:oMathPara>
          </w:p>
        </w:tc>
      </w:tr>
      <w:tr w:rsidR="007E5792" w:rsidTr="00984D30">
        <w:trPr>
          <w:trHeight w:val="367"/>
        </w:trPr>
        <w:tc>
          <w:tcPr>
            <w:cnfStyle w:val="001000000000"/>
            <w:tcW w:w="2988" w:type="dxa"/>
            <w:vAlign w:val="center"/>
          </w:tcPr>
          <w:p w:rsidR="007E5792" w:rsidRDefault="007E5792" w:rsidP="00984D30">
            <w:pPr>
              <w:spacing w:line="360" w:lineRule="auto"/>
            </w:pPr>
            <w:r>
              <w:t>Periodic Effects</w:t>
            </w:r>
          </w:p>
        </w:tc>
        <w:tc>
          <w:tcPr>
            <w:tcW w:w="6588" w:type="dxa"/>
            <w:vAlign w:val="center"/>
          </w:tcPr>
          <w:p w:rsidR="007E5792" w:rsidRPr="00AE425D" w:rsidRDefault="007E5792" w:rsidP="003334A3">
            <w:pPr>
              <w:spacing w:line="360" w:lineRule="auto"/>
              <w:cnfStyle w:val="00000000000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 xml:space="preserve"> ∝ </m:t>
                </m:r>
                <m:sSup>
                  <m:sSupPr>
                    <m:ctrlPr>
                      <w:rPr>
                        <w:rFonts w:ascii="Cambria Math" w:hAnsi="Cambria Math"/>
                        <w:i/>
                      </w:rPr>
                    </m:ctrlPr>
                  </m:sSupPr>
                  <m:e>
                    <m:r>
                      <w:rPr>
                        <w:rFonts w:ascii="Cambria Math" w:hAnsi="Cambria Math"/>
                      </w:rPr>
                      <m:t>λ</m:t>
                    </m:r>
                  </m:e>
                  <m:sup>
                    <m:f>
                      <m:fPr>
                        <m:type m:val="lin"/>
                        <m:ctrlPr>
                          <w:rPr>
                            <w:rFonts w:ascii="Cambria Math" w:hAnsi="Cambria Math"/>
                            <w:i/>
                          </w:rPr>
                        </m:ctrlPr>
                      </m:fPr>
                      <m:num>
                        <m:r>
                          <w:rPr>
                            <w:rFonts w:ascii="Cambria Math" w:hAnsi="Cambria Math"/>
                          </w:rPr>
                          <m:t>(T-m+1)</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t</m:t>
                                </m:r>
                              </m:sub>
                            </m:sSub>
                          </m:e>
                          <m:sup>
                            <m:r>
                              <w:rPr>
                                <w:rFonts w:ascii="Cambria Math" w:hAnsi="Cambria Math"/>
                              </w:rPr>
                              <m:t>T</m:t>
                            </m:r>
                          </m:sup>
                        </m:sSup>
                        <m:r>
                          <w:rPr>
                            <w:rFonts w:ascii="Cambria Math" w:hAnsi="Cambria Math"/>
                          </w:rPr>
                          <m:t xml:space="preserve"> P </m:t>
                        </m:r>
                        <m:sSub>
                          <m:sSubPr>
                            <m:ctrlPr>
                              <w:rPr>
                                <w:rFonts w:ascii="Cambria Math" w:hAnsi="Cambria Math"/>
                                <w:i/>
                              </w:rPr>
                            </m:ctrlPr>
                          </m:sSubPr>
                          <m:e>
                            <m:r>
                              <w:rPr>
                                <w:rFonts w:ascii="Cambria Math" w:hAnsi="Cambria Math"/>
                              </w:rPr>
                              <m:t>Z</m:t>
                            </m:r>
                          </m:e>
                          <m:sub>
                            <m:r>
                              <w:rPr>
                                <w:rFonts w:ascii="Cambria Math" w:hAnsi="Cambria Math"/>
                              </w:rPr>
                              <m:t>t</m:t>
                            </m:r>
                          </m:sub>
                        </m:sSub>
                      </m:e>
                    </m:d>
                  </m:e>
                </m:func>
              </m:oMath>
            </m:oMathPara>
          </w:p>
        </w:tc>
      </w:tr>
      <w:tr w:rsidR="007E5792" w:rsidTr="00984D30">
        <w:trPr>
          <w:cnfStyle w:val="000000100000"/>
        </w:trPr>
        <w:tc>
          <w:tcPr>
            <w:cnfStyle w:val="001000000000"/>
            <w:tcW w:w="2988" w:type="dxa"/>
            <w:vAlign w:val="center"/>
          </w:tcPr>
          <w:p w:rsidR="007E5792" w:rsidRDefault="007E5792" w:rsidP="00984D30">
            <w:pPr>
              <w:spacing w:line="360" w:lineRule="auto"/>
            </w:pPr>
            <w:r>
              <w:t>Parameter Priors</w:t>
            </w:r>
          </w:p>
        </w:tc>
        <w:tc>
          <w:tcPr>
            <w:tcW w:w="6588" w:type="dxa"/>
            <w:vAlign w:val="center"/>
          </w:tcPr>
          <w:p w:rsidR="007E5792" w:rsidRDefault="007E5792" w:rsidP="00984D30">
            <w:pPr>
              <w:spacing w:line="360" w:lineRule="auto"/>
              <w:cnfStyle w:val="000000100000"/>
            </w:pPr>
            <m:oMathPara>
              <m:oMath>
                <m:r>
                  <w:rPr>
                    <w:rFonts w:ascii="Cambria Math" w:hAnsi="Cambria Math"/>
                  </w:rPr>
                  <m:t>β ~ 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τ ~  G</m:t>
                </m:r>
                <m:d>
                  <m:dPr>
                    <m:ctrlPr>
                      <w:rPr>
                        <w:rFonts w:ascii="Cambria Math" w:hAnsi="Cambria Math"/>
                        <w:i/>
                      </w:rPr>
                    </m:ctrlPr>
                  </m:dPr>
                  <m:e>
                    <m:r>
                      <w:rPr>
                        <w:rFonts w:ascii="Cambria Math" w:hAnsi="Cambria Math"/>
                      </w:rPr>
                      <m:t>a,b</m:t>
                    </m:r>
                  </m:e>
                </m:d>
                <m:r>
                  <w:rPr>
                    <w:rFonts w:ascii="Cambria Math" w:hAnsi="Cambria Math"/>
                  </w:rPr>
                  <m:t>;    λ ~  G</m:t>
                </m:r>
                <m:d>
                  <m:dPr>
                    <m:ctrlPr>
                      <w:rPr>
                        <w:rFonts w:ascii="Cambria Math" w:hAnsi="Cambria Math"/>
                        <w:i/>
                      </w:rPr>
                    </m:ctrlPr>
                  </m:dPr>
                  <m:e>
                    <m:r>
                      <w:rPr>
                        <w:rFonts w:ascii="Cambria Math" w:hAnsi="Cambria Math"/>
                      </w:rPr>
                      <m:t>c,d</m:t>
                    </m:r>
                  </m:e>
                </m:d>
              </m:oMath>
            </m:oMathPara>
          </w:p>
        </w:tc>
      </w:tr>
    </w:tbl>
    <w:p w:rsidR="007E5792" w:rsidRDefault="007E5792" w:rsidP="007E5792"/>
    <w:p w:rsidR="007E5792" w:rsidRDefault="007E5792" w:rsidP="007E5792">
      <w:proofErr w:type="gramStart"/>
      <w:r w:rsidRPr="003651DE">
        <w:rPr>
          <w:b/>
        </w:rPr>
        <w:t>Distribution</w:t>
      </w:r>
      <w:r>
        <w:t>(</w:t>
      </w:r>
      <w:proofErr w:type="gramEnd"/>
      <w:r w:rsidRPr="003651DE">
        <w:rPr>
          <w:rFonts w:ascii="Symbol" w:hAnsi="Symbol"/>
          <w:i/>
        </w:rPr>
        <w:t></w:t>
      </w:r>
      <w:r>
        <w:t xml:space="preserve">): probability distribution of the observations with mean </w:t>
      </w:r>
      <w:r w:rsidRPr="003651DE">
        <w:rPr>
          <w:rFonts w:ascii="Symbol" w:hAnsi="Symbol"/>
          <w:i/>
        </w:rPr>
        <w:t></w:t>
      </w:r>
    </w:p>
    <w:p w:rsidR="007E5792" w:rsidRDefault="007E5792" w:rsidP="007E5792">
      <w:r w:rsidRPr="003651DE">
        <w:rPr>
          <w:b/>
        </w:rPr>
        <w:t>Link</w:t>
      </w:r>
      <w:r>
        <w:t>: link function</w:t>
      </w:r>
    </w:p>
    <w:p w:rsidR="003334A3" w:rsidRDefault="007E5792" w:rsidP="007E5792">
      <w:proofErr w:type="gramStart"/>
      <w:r w:rsidRPr="003651DE">
        <w:rPr>
          <w:rFonts w:ascii="Times New Roman" w:hAnsi="Times New Roman" w:cs="Times New Roman"/>
          <w:i/>
        </w:rPr>
        <w:lastRenderedPageBreak/>
        <w:t>s</w:t>
      </w:r>
      <w:proofErr w:type="gramEnd"/>
      <w:r>
        <w:t xml:space="preserve">, </w:t>
      </w:r>
      <w:r w:rsidRPr="003651DE">
        <w:rPr>
          <w:rFonts w:ascii="Times New Roman" w:hAnsi="Times New Roman" w:cs="Times New Roman"/>
          <w:i/>
        </w:rPr>
        <w:t>t</w:t>
      </w:r>
      <w:r>
        <w:t>: space and time indices respectively</w:t>
      </w:r>
    </w:p>
    <w:p w:rsidR="007E5792" w:rsidRDefault="003C2753" w:rsidP="007E5792">
      <m:oMath>
        <m:sSub>
          <m:sSubPr>
            <m:ctrlPr>
              <w:rPr>
                <w:rFonts w:ascii="Cambria Math" w:hAnsi="Cambria Math"/>
                <w:i/>
              </w:rPr>
            </m:ctrlPr>
          </m:sSubPr>
          <m:e>
            <m:r>
              <w:rPr>
                <w:rFonts w:ascii="Cambria Math" w:hAnsi="Cambria Math"/>
              </w:rPr>
              <m:t>Y</m:t>
            </m:r>
          </m:e>
          <m:sub>
            <m:r>
              <w:rPr>
                <w:rFonts w:ascii="Cambria Math" w:hAnsi="Cambria Math"/>
              </w:rPr>
              <m:t>s,t</m:t>
            </m:r>
          </m:sub>
        </m:sSub>
      </m:oMath>
      <w:proofErr w:type="gramStart"/>
      <w:r w:rsidR="007E5792">
        <w:t xml:space="preserve">, </w:t>
      </w:r>
      <m:oMath>
        <w:proofErr w:type="gramEnd"/>
        <m:sSub>
          <m:sSubPr>
            <m:ctrlPr>
              <w:rPr>
                <w:rFonts w:ascii="Cambria Math" w:eastAsia="Times New Roman" w:hAnsi="Cambria Math" w:cs="Times New Roman"/>
                <w:i/>
                <w:sz w:val="20"/>
                <w:szCs w:val="20"/>
              </w:rPr>
            </m:ctrlPr>
          </m:sSubPr>
          <m:e>
            <m:r>
              <w:rPr>
                <w:rFonts w:ascii="Cambria Math" w:hAnsi="Cambria Math"/>
              </w:rPr>
              <m:t>Z</m:t>
            </m:r>
          </m:e>
          <m:sub>
            <m:r>
              <w:rPr>
                <w:rFonts w:ascii="Cambria Math" w:hAnsi="Cambria Math"/>
              </w:rPr>
              <m:t>t</m:t>
            </m:r>
          </m:sub>
        </m:sSub>
      </m:oMath>
      <w:r w:rsidR="007E5792">
        <w:t>: random variables in GMRF for spatio-temporal and periodic (e.g. seasonal) effects respectively</w:t>
      </w:r>
    </w:p>
    <w:p w:rsidR="00D92707" w:rsidRPr="00D92707" w:rsidRDefault="00D92707" w:rsidP="007E5792">
      <w:pPr>
        <w:rPr>
          <w:rFonts w:eastAsiaTheme="minorEastAsia"/>
          <w:sz w:val="20"/>
          <w:szCs w:val="20"/>
        </w:rPr>
      </w:pPr>
      <w:proofErr w:type="gramStart"/>
      <w:r w:rsidRPr="00D92707">
        <w:rPr>
          <w:rFonts w:ascii="Times New Roman" w:hAnsi="Times New Roman" w:cs="Times New Roman"/>
          <w:i/>
        </w:rPr>
        <w:t>n</w:t>
      </w:r>
      <w:proofErr w:type="gramEnd"/>
      <w:r>
        <w:t xml:space="preserve">, </w:t>
      </w:r>
      <w:r w:rsidRPr="00D92707">
        <w:rPr>
          <w:rFonts w:ascii="Times New Roman" w:hAnsi="Times New Roman" w:cs="Times New Roman"/>
          <w:i/>
        </w:rPr>
        <w:t>T</w:t>
      </w:r>
      <w:r>
        <w:t xml:space="preserve">: dimensions of </w:t>
      </w:r>
      <m:oMath>
        <m:sSub>
          <m:sSubPr>
            <m:ctrlPr>
              <w:rPr>
                <w:rFonts w:ascii="Cambria Math" w:hAnsi="Cambria Math"/>
                <w:i/>
              </w:rPr>
            </m:ctrlPr>
          </m:sSubPr>
          <m:e>
            <m:r>
              <w:rPr>
                <w:rFonts w:ascii="Cambria Math" w:hAnsi="Cambria Math"/>
              </w:rPr>
              <m:t>Y</m:t>
            </m:r>
          </m:e>
          <m:sub>
            <m:r>
              <w:rPr>
                <w:rFonts w:ascii="Cambria Math" w:hAnsi="Cambria Math"/>
              </w:rPr>
              <m:t>s,t</m:t>
            </m:r>
          </m:sub>
        </m:sSub>
      </m:oMath>
      <w:r>
        <w:t xml:space="preserve">, </w:t>
      </w:r>
      <m:oMath>
        <m:sSub>
          <m:sSubPr>
            <m:ctrlPr>
              <w:rPr>
                <w:rFonts w:ascii="Cambria Math" w:eastAsia="Times New Roman" w:hAnsi="Cambria Math" w:cs="Times New Roman"/>
                <w:i/>
                <w:sz w:val="20"/>
                <w:szCs w:val="20"/>
              </w:rPr>
            </m:ctrlPr>
          </m:sSubPr>
          <m:e>
            <m:r>
              <w:rPr>
                <w:rFonts w:ascii="Cambria Math" w:hAnsi="Cambria Math"/>
              </w:rPr>
              <m:t>Z</m:t>
            </m:r>
          </m:e>
          <m:sub>
            <m:r>
              <w:rPr>
                <w:rFonts w:ascii="Cambria Math" w:hAnsi="Cambria Math"/>
              </w:rPr>
              <m:t>t</m:t>
            </m:r>
          </m:sub>
        </m:sSub>
      </m:oMath>
      <w:r>
        <w:rPr>
          <w:rFonts w:eastAsiaTheme="minorEastAsia"/>
          <w:sz w:val="20"/>
          <w:szCs w:val="20"/>
        </w:rPr>
        <w:t xml:space="preserve"> respectively</w:t>
      </w:r>
    </w:p>
    <w:p w:rsidR="007E5792" w:rsidRDefault="007E5792" w:rsidP="007E5792">
      <w:r w:rsidRPr="003651DE">
        <w:rPr>
          <w:rFonts w:ascii="Times New Roman" w:hAnsi="Times New Roman" w:cs="Times New Roman"/>
          <w:i/>
        </w:rPr>
        <w:t>Q</w:t>
      </w:r>
      <w:r>
        <w:t xml:space="preserve">, </w:t>
      </w:r>
      <w:r w:rsidR="003334A3">
        <w:rPr>
          <w:rFonts w:ascii="Times New Roman" w:hAnsi="Times New Roman" w:cs="Times New Roman"/>
          <w:i/>
        </w:rPr>
        <w:t>P</w:t>
      </w:r>
      <w:r>
        <w:t>: sparse precision matrices</w:t>
      </w:r>
      <w:r w:rsidRPr="00931BB6">
        <w:t xml:space="preserve"> </w:t>
      </w:r>
      <w:r>
        <w:t xml:space="preserve">for </w:t>
      </w:r>
      <w:proofErr w:type="spellStart"/>
      <w:r>
        <w:t>spatio</w:t>
      </w:r>
      <w:proofErr w:type="spellEnd"/>
      <w:r>
        <w:t>-temporal and periodic effects respectively</w:t>
      </w:r>
    </w:p>
    <w:p w:rsidR="00D92707" w:rsidRDefault="00D92707" w:rsidP="007E5792">
      <w:proofErr w:type="gramStart"/>
      <w:r w:rsidRPr="00D92707">
        <w:rPr>
          <w:rFonts w:ascii="Times New Roman" w:hAnsi="Times New Roman" w:cs="Times New Roman"/>
          <w:i/>
        </w:rPr>
        <w:t>l</w:t>
      </w:r>
      <w:proofErr w:type="gramEnd"/>
      <w:r>
        <w:t xml:space="preserve">: dimension of the null space of </w:t>
      </w:r>
      <w:r w:rsidRPr="00D92707">
        <w:rPr>
          <w:rFonts w:ascii="Times New Roman" w:hAnsi="Times New Roman" w:cs="Times New Roman"/>
          <w:i/>
        </w:rPr>
        <w:t>Q</w:t>
      </w:r>
    </w:p>
    <w:p w:rsidR="00D92707" w:rsidRDefault="00D92707" w:rsidP="007E5792">
      <w:proofErr w:type="gramStart"/>
      <w:r w:rsidRPr="00D92707">
        <w:rPr>
          <w:rFonts w:ascii="Times New Roman" w:hAnsi="Times New Roman" w:cs="Times New Roman"/>
          <w:i/>
        </w:rPr>
        <w:t>m</w:t>
      </w:r>
      <w:proofErr w:type="gramEnd"/>
      <w:r>
        <w:t xml:space="preserve">: period of the periodic effect; </w:t>
      </w:r>
      <w:r w:rsidRPr="00D92707">
        <w:rPr>
          <w:rFonts w:ascii="Times New Roman" w:hAnsi="Times New Roman" w:cs="Times New Roman"/>
          <w:i/>
        </w:rPr>
        <w:t>m</w:t>
      </w:r>
      <w:r>
        <w:t xml:space="preserve">-1 is dimension of the null space of </w:t>
      </w:r>
      <w:r w:rsidRPr="00D92707">
        <w:rPr>
          <w:rFonts w:ascii="Times New Roman" w:hAnsi="Times New Roman" w:cs="Times New Roman"/>
          <w:i/>
        </w:rPr>
        <w:t>P</w:t>
      </w:r>
    </w:p>
    <w:p w:rsidR="007E5792" w:rsidRDefault="007E5792" w:rsidP="007E5792">
      <w:proofErr w:type="gramStart"/>
      <w:r w:rsidRPr="003651DE">
        <w:rPr>
          <w:rFonts w:ascii="Times New Roman" w:hAnsi="Times New Roman" w:cs="Times New Roman"/>
          <w:i/>
        </w:rPr>
        <w:t>N</w:t>
      </w:r>
      <w:r>
        <w:t>(</w:t>
      </w:r>
      <w:proofErr w:type="gramEnd"/>
      <w:r>
        <w:t>.,.): Gaussian distribution</w:t>
      </w:r>
    </w:p>
    <w:p w:rsidR="007E5792" w:rsidRDefault="007E5792" w:rsidP="007E5792">
      <w:proofErr w:type="gramStart"/>
      <w:r w:rsidRPr="003651DE">
        <w:rPr>
          <w:rFonts w:ascii="Times New Roman" w:hAnsi="Times New Roman" w:cs="Times New Roman"/>
          <w:i/>
        </w:rPr>
        <w:t>G</w:t>
      </w:r>
      <w:r>
        <w:t>(</w:t>
      </w:r>
      <w:proofErr w:type="gramEnd"/>
      <w:r>
        <w:t xml:space="preserve">.,.): Gamma distribution </w:t>
      </w:r>
    </w:p>
    <w:p w:rsidR="004D3BE8" w:rsidRPr="004D3BE8" w:rsidRDefault="00984D30" w:rsidP="007E5792">
      <w:r w:rsidRPr="00984D30">
        <w:rPr>
          <w:rFonts w:ascii="Symbol" w:hAnsi="Symbol" w:cs="Times New Roman"/>
          <w:i/>
        </w:rPr>
        <w:t></w:t>
      </w:r>
      <w:r>
        <w:rPr>
          <w:rFonts w:ascii="Times New Roman" w:hAnsi="Times New Roman" w:cs="Times New Roman"/>
          <w:i/>
        </w:rPr>
        <w:t xml:space="preserve">, </w:t>
      </w:r>
      <w:r w:rsidR="004D3BE8">
        <w:rPr>
          <w:rFonts w:ascii="Times New Roman" w:hAnsi="Times New Roman" w:cs="Times New Roman"/>
          <w:i/>
        </w:rPr>
        <w:t>a</w:t>
      </w:r>
      <w:r w:rsidR="004D3BE8">
        <w:t xml:space="preserve">, </w:t>
      </w:r>
      <w:r w:rsidR="004D3BE8">
        <w:rPr>
          <w:rFonts w:ascii="Times New Roman" w:hAnsi="Times New Roman" w:cs="Times New Roman"/>
          <w:i/>
        </w:rPr>
        <w:t>b, c</w:t>
      </w:r>
      <w:r w:rsidR="004D3BE8">
        <w:t xml:space="preserve">, </w:t>
      </w:r>
      <w:r w:rsidR="004D3BE8">
        <w:rPr>
          <w:rFonts w:ascii="Times New Roman" w:hAnsi="Times New Roman" w:cs="Times New Roman"/>
          <w:i/>
        </w:rPr>
        <w:t>d</w:t>
      </w:r>
      <w:r w:rsidR="004D3BE8">
        <w:rPr>
          <w:rFonts w:ascii="Times New Roman" w:hAnsi="Times New Roman" w:cs="Times New Roman"/>
        </w:rPr>
        <w:t xml:space="preserve">: </w:t>
      </w:r>
      <w:r w:rsidR="004D3BE8" w:rsidRPr="004D3BE8">
        <w:rPr>
          <w:rFonts w:cs="Times New Roman"/>
        </w:rPr>
        <w:t>hyper-parameters</w:t>
      </w:r>
      <w:r>
        <w:rPr>
          <w:rFonts w:cs="Times New Roman"/>
        </w:rPr>
        <w:t xml:space="preserve">; they are chosen to be relatively uninformative. For example,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C455C6">
        <w:rPr>
          <w:rFonts w:cs="Times New Roman"/>
        </w:rPr>
        <w:t xml:space="preserve"> </w:t>
      </w:r>
      <w:proofErr w:type="gramStart"/>
      <w:r w:rsidR="00C455C6">
        <w:rPr>
          <w:rFonts w:cs="Times New Roman"/>
        </w:rPr>
        <w:t>InvGamma(</w:t>
      </w:r>
      <w:proofErr w:type="gramEnd"/>
      <w:r w:rsidR="00C455C6">
        <w:rPr>
          <w:rFonts w:cs="Times New Roman"/>
        </w:rPr>
        <w:t xml:space="preserve">1,1), </w:t>
      </w:r>
      <w:r w:rsidR="00C455C6" w:rsidRPr="00C455C6">
        <w:rPr>
          <w:rFonts w:ascii="Times New Roman" w:hAnsi="Times New Roman" w:cs="Times New Roman"/>
          <w:i/>
        </w:rPr>
        <w:t>a</w:t>
      </w:r>
      <w:r w:rsidR="00C455C6">
        <w:rPr>
          <w:rFonts w:cs="Times New Roman"/>
        </w:rPr>
        <w:t>=</w:t>
      </w:r>
      <w:r w:rsidR="00C455C6" w:rsidRPr="00C455C6">
        <w:rPr>
          <w:rFonts w:ascii="Times New Roman" w:hAnsi="Times New Roman" w:cs="Times New Roman"/>
          <w:i/>
        </w:rPr>
        <w:t>c</w:t>
      </w:r>
      <w:r w:rsidR="00C455C6">
        <w:rPr>
          <w:rFonts w:cs="Times New Roman"/>
        </w:rPr>
        <w:t xml:space="preserve">=1 and </w:t>
      </w:r>
      <w:r w:rsidR="00C455C6" w:rsidRPr="00C455C6">
        <w:rPr>
          <w:rFonts w:ascii="Times New Roman" w:hAnsi="Times New Roman" w:cs="Times New Roman"/>
          <w:i/>
        </w:rPr>
        <w:t>b</w:t>
      </w:r>
      <w:r w:rsidR="00C455C6">
        <w:rPr>
          <w:rFonts w:cs="Times New Roman"/>
        </w:rPr>
        <w:t>=</w:t>
      </w:r>
      <w:r w:rsidR="00C455C6" w:rsidRPr="00C455C6">
        <w:rPr>
          <w:rFonts w:ascii="Times New Roman" w:hAnsi="Times New Roman" w:cs="Times New Roman"/>
          <w:i/>
        </w:rPr>
        <w:t>d</w:t>
      </w:r>
      <w:r w:rsidR="00C455C6">
        <w:rPr>
          <w:rFonts w:cs="Times New Roman"/>
        </w:rPr>
        <w:t>=0.1.</w:t>
      </w:r>
    </w:p>
    <w:p w:rsidR="00DC6A58" w:rsidRDefault="00DC6A58" w:rsidP="007E5792">
      <w:r>
        <w:t xml:space="preserve">We also plan to further improve the model </w:t>
      </w:r>
      <w:r w:rsidR="00401B56">
        <w:t xml:space="preserve">by explicitly incorporating the evolution of an epidemic. An approach is to incorporate an additional term to capture the different phases that a </w:t>
      </w:r>
      <w:r w:rsidR="004D7029">
        <w:t xml:space="preserve">population goes through </w:t>
      </w:r>
      <w:r w:rsidR="00401B56">
        <w:t xml:space="preserve">over time </w:t>
      </w:r>
      <w:r w:rsidR="004D7029">
        <w:t xml:space="preserve">in a flu epidemic – </w:t>
      </w:r>
      <w:r w:rsidR="00401B56">
        <w:t xml:space="preserve">from susceptible to infectious to recovery. More accurate description of the dynamics of the flu epidemics should </w:t>
      </w:r>
      <w:r w:rsidR="000C1CBC">
        <w:t xml:space="preserve">further </w:t>
      </w:r>
      <w:r w:rsidR="00401B56">
        <w:t>improve the accuracy in forecasting future cases.</w:t>
      </w:r>
    </w:p>
    <w:p w:rsidR="007E5792" w:rsidRDefault="007E5792" w:rsidP="007E5792">
      <w:pPr>
        <w:pStyle w:val="Heading1"/>
      </w:pPr>
      <w:r>
        <w:t>Computer Code</w:t>
      </w:r>
    </w:p>
    <w:p w:rsidR="007E5792" w:rsidRDefault="007E5792" w:rsidP="007E5792">
      <w:pPr>
        <w:rPr>
          <w:rFonts w:eastAsia="Times New Roman"/>
        </w:rPr>
      </w:pPr>
      <w:r>
        <w:t xml:space="preserve">The model is implemented in Python. The current code </w:t>
      </w:r>
      <w:r>
        <w:rPr>
          <w:rFonts w:eastAsia="Times New Roman"/>
        </w:rPr>
        <w:t>can handle real-valued, count and point process data, and can be easily extended to include other data types in the exponential family.</w:t>
      </w:r>
    </w:p>
    <w:p w:rsidR="007E5792" w:rsidRDefault="007E5792" w:rsidP="007E5792">
      <w:r>
        <w:rPr>
          <w:rFonts w:eastAsia="Times New Roman"/>
        </w:rPr>
        <w:t xml:space="preserve">For inference from observed data, </w:t>
      </w:r>
      <w:r>
        <w:t xml:space="preserve">we implemented the Markov chain Monte Carlo (MCMC) method to draw samples from the posterior probability, which provide estimates for the </w:t>
      </w:r>
      <w:r w:rsidR="00125833">
        <w:t xml:space="preserve">random </w:t>
      </w:r>
      <w:r>
        <w:t xml:space="preserve">variables of concern. We leveraged the </w:t>
      </w:r>
      <w:r w:rsidR="00125833">
        <w:t xml:space="preserve">Python </w:t>
      </w:r>
      <w:proofErr w:type="spellStart"/>
      <w:r>
        <w:t>PyMC</w:t>
      </w:r>
      <w:proofErr w:type="spellEnd"/>
      <w:r>
        <w:t xml:space="preserve"> module for the MCMC computation.</w:t>
      </w:r>
    </w:p>
    <w:p w:rsidR="007E5792" w:rsidRDefault="007E5792" w:rsidP="007E5792">
      <w:pPr>
        <w:rPr>
          <w:rFonts w:eastAsia="Times New Roman"/>
        </w:rPr>
      </w:pPr>
      <w:r>
        <w:rPr>
          <w:rFonts w:eastAsia="Times New Roman"/>
        </w:rPr>
        <w:t xml:space="preserve">We can also use the model as a generative process to simulate </w:t>
      </w:r>
      <w:r w:rsidR="003425B4">
        <w:rPr>
          <w:rFonts w:eastAsia="Times New Roman"/>
        </w:rPr>
        <w:t xml:space="preserve">the </w:t>
      </w:r>
      <w:proofErr w:type="spellStart"/>
      <w:r>
        <w:rPr>
          <w:rFonts w:eastAsia="Times New Roman"/>
        </w:rPr>
        <w:t>spatio</w:t>
      </w:r>
      <w:proofErr w:type="spellEnd"/>
      <w:r>
        <w:rPr>
          <w:rFonts w:eastAsia="Times New Roman"/>
        </w:rPr>
        <w:t>-temporal evolution</w:t>
      </w:r>
      <w:r w:rsidR="003425B4">
        <w:rPr>
          <w:rFonts w:eastAsia="Times New Roman"/>
        </w:rPr>
        <w:t xml:space="preserve"> of a flu epidemic</w:t>
      </w:r>
      <w:r>
        <w:rPr>
          <w:rFonts w:eastAsia="Times New Roman"/>
        </w:rPr>
        <w:t>.</w:t>
      </w:r>
      <w:r>
        <w:t xml:space="preserve"> The Python code also supports this option. </w:t>
      </w:r>
      <w:r>
        <w:rPr>
          <w:rFonts w:eastAsia="Times New Roman"/>
        </w:rPr>
        <w:t>Both the simulated data and the model itself can be used by the performers to develop and test their methods.</w:t>
      </w:r>
    </w:p>
    <w:p w:rsidR="008C4F2C" w:rsidRPr="00CE4406" w:rsidRDefault="008C4F2C">
      <w:pPr>
        <w:rPr>
          <w:rFonts w:eastAsia="Times New Roman"/>
        </w:rPr>
      </w:pPr>
    </w:p>
    <w:sectPr w:rsidR="008C4F2C" w:rsidRPr="00CE4406" w:rsidSect="00451F1E">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DD5" w:rsidRDefault="00390DD5" w:rsidP="00F95E83">
      <w:pPr>
        <w:spacing w:after="0" w:line="240" w:lineRule="auto"/>
      </w:pPr>
      <w:r>
        <w:separator/>
      </w:r>
    </w:p>
  </w:endnote>
  <w:endnote w:type="continuationSeparator" w:id="0">
    <w:p w:rsidR="00390DD5" w:rsidRDefault="00390DD5" w:rsidP="00F95E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sig w:usb0="00000000" w:usb1="00000000" w:usb2="00000000" w:usb3="00000000" w:csb0="00000000" w:csb1="00000000"/>
  </w:font>
  <w:font w:name="Arial Bold">
    <w:panose1 w:val="020B0704020202020204"/>
    <w:charset w:val="00"/>
    <w:family w:val="roman"/>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D30" w:rsidRPr="003D1AD5" w:rsidRDefault="00984D30">
    <w:pPr>
      <w:pStyle w:val="Footer"/>
      <w:rPr>
        <w:sz w:val="20"/>
        <w:szCs w:val="20"/>
      </w:rPr>
    </w:pPr>
    <w:r w:rsidRPr="003D1AD5">
      <w:rPr>
        <w:sz w:val="20"/>
        <w:szCs w:val="20"/>
      </w:rPr>
      <w:t>Proprietary &amp; Confidential covered under NDA and Teaming Agreement between SSCI and Galois</w:t>
    </w:r>
    <w:r>
      <w:rPr>
        <w:sz w:val="20"/>
        <w:szCs w:val="20"/>
      </w:rPr>
      <w:t>, February 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DD5" w:rsidRDefault="00390DD5" w:rsidP="00F95E83">
      <w:pPr>
        <w:spacing w:after="0" w:line="240" w:lineRule="auto"/>
      </w:pPr>
      <w:r>
        <w:separator/>
      </w:r>
    </w:p>
  </w:footnote>
  <w:footnote w:type="continuationSeparator" w:id="0">
    <w:p w:rsidR="00390DD5" w:rsidRDefault="00390DD5" w:rsidP="00F95E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11025"/>
      <w:docPartObj>
        <w:docPartGallery w:val="Page Numbers (Top of Page)"/>
        <w:docPartUnique/>
      </w:docPartObj>
    </w:sdtPr>
    <w:sdtContent>
      <w:p w:rsidR="00984D30" w:rsidRDefault="003C2753">
        <w:pPr>
          <w:pStyle w:val="Header"/>
          <w:jc w:val="right"/>
        </w:pPr>
        <w:r>
          <w:rPr>
            <w:noProof/>
          </w:rPr>
          <w:pict>
            <v:group id="_x0000_s7172" style="position:absolute;left:0;text-align:left;margin-left:56.4pt;margin-top:20.1pt;width:104.7pt;height:21.9pt;z-index:-251657216;mso-position-horizontal-relative:page;mso-position-vertical-relative:page" coordsize="2094,438">
              <v:rect id="_x0000_s7173" style="position:absolute;width:2094;height:438" coordsize="21600,21600" stroked="f">
                <v:fill o:detectmouseclick="t"/>
                <v:stroke joinstyle="round"/>
                <v:path arrowok="t" o:connectlocs="10800,10800"/>
                <v:textbox style="mso-next-textbox:#_x0000_s7173" inset="0,0,0,0">
                  <w:txbxContent>
                    <w:p w:rsidR="00984D30" w:rsidRDefault="00984D30" w:rsidP="00F95E83">
                      <w:pPr>
                        <w:pStyle w:val="FreeFormA"/>
                        <w:rPr>
                          <w:rFonts w:eastAsia="Times New Roman"/>
                          <w:color w:val="auto"/>
                        </w:rPr>
                      </w:pPr>
                    </w:p>
                  </w:txbxContent>
                </v:textbox>
              </v:rect>
              <v:shape id="_x0000_s7174" style="position:absolute;width:2074;height:438" coordsize="21600,21600" o:spt="100" adj="0,,0" path="">
                <v:stroke joinstyle="round"/>
                <v:imagedata r:id="rId1" o:title=""/>
                <v:formulas/>
                <v:path o:connecttype="segments"/>
              </v:shape>
              <w10:wrap anchorx="page" anchory="page"/>
            </v:group>
          </w:pict>
        </w:r>
        <w:fldSimple w:instr=" PAGE   \* MERGEFORMAT ">
          <w:r w:rsidR="00087D18">
            <w:rPr>
              <w:noProof/>
            </w:rPr>
            <w:t>1</w:t>
          </w:r>
        </w:fldSimple>
      </w:p>
    </w:sdtContent>
  </w:sdt>
  <w:p w:rsidR="00984D30" w:rsidRDefault="00984D30" w:rsidP="00F95E8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15F97"/>
    <w:multiLevelType w:val="hybridMultilevel"/>
    <w:tmpl w:val="BC882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5228B6"/>
    <w:multiLevelType w:val="hybridMultilevel"/>
    <w:tmpl w:val="FBFEF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1F0FAD"/>
    <w:multiLevelType w:val="hybridMultilevel"/>
    <w:tmpl w:val="3A706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E4B47"/>
    <w:multiLevelType w:val="hybridMultilevel"/>
    <w:tmpl w:val="D9C058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ABE7266"/>
    <w:multiLevelType w:val="hybridMultilevel"/>
    <w:tmpl w:val="A158576A"/>
    <w:lvl w:ilvl="0" w:tplc="04090001">
      <w:start w:val="1"/>
      <w:numFmt w:val="bullet"/>
      <w:lvlText w:val=""/>
      <w:lvlJc w:val="left"/>
      <w:pPr>
        <w:ind w:left="720" w:hanging="360"/>
      </w:pPr>
      <w:rPr>
        <w:rFonts w:ascii="Symbol" w:hAnsi="Symbol" w:hint="default"/>
      </w:rPr>
    </w:lvl>
    <w:lvl w:ilvl="1" w:tplc="B8EA705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DE1743"/>
    <w:multiLevelType w:val="hybridMultilevel"/>
    <w:tmpl w:val="FA46E4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28674"/>
    <o:shapelayout v:ext="edit">
      <o:idmap v:ext="edit" data="7"/>
    </o:shapelayout>
  </w:hdrShapeDefaults>
  <w:footnotePr>
    <w:footnote w:id="-1"/>
    <w:footnote w:id="0"/>
  </w:footnotePr>
  <w:endnotePr>
    <w:endnote w:id="-1"/>
    <w:endnote w:id="0"/>
  </w:endnotePr>
  <w:compat/>
  <w:rsids>
    <w:rsidRoot w:val="00952C79"/>
    <w:rsid w:val="0000551D"/>
    <w:rsid w:val="000116A2"/>
    <w:rsid w:val="00060887"/>
    <w:rsid w:val="00067827"/>
    <w:rsid w:val="00071665"/>
    <w:rsid w:val="000750DE"/>
    <w:rsid w:val="00087D18"/>
    <w:rsid w:val="000A2A8F"/>
    <w:rsid w:val="000B6B7A"/>
    <w:rsid w:val="000C1CBC"/>
    <w:rsid w:val="000C2051"/>
    <w:rsid w:val="000D7882"/>
    <w:rsid w:val="000F6419"/>
    <w:rsid w:val="00106B60"/>
    <w:rsid w:val="0011674D"/>
    <w:rsid w:val="00116AB1"/>
    <w:rsid w:val="00117F88"/>
    <w:rsid w:val="001215D6"/>
    <w:rsid w:val="00125833"/>
    <w:rsid w:val="001304A3"/>
    <w:rsid w:val="00161A01"/>
    <w:rsid w:val="00165CF3"/>
    <w:rsid w:val="00183031"/>
    <w:rsid w:val="0019431F"/>
    <w:rsid w:val="001974D5"/>
    <w:rsid w:val="001B083A"/>
    <w:rsid w:val="001C0F14"/>
    <w:rsid w:val="001C137F"/>
    <w:rsid w:val="00210809"/>
    <w:rsid w:val="00225ACD"/>
    <w:rsid w:val="002464A9"/>
    <w:rsid w:val="00247BC6"/>
    <w:rsid w:val="00252425"/>
    <w:rsid w:val="00253E9D"/>
    <w:rsid w:val="002656FC"/>
    <w:rsid w:val="0027450B"/>
    <w:rsid w:val="002833CF"/>
    <w:rsid w:val="00296816"/>
    <w:rsid w:val="002A04D2"/>
    <w:rsid w:val="002B7AC6"/>
    <w:rsid w:val="002C1778"/>
    <w:rsid w:val="002C6A9D"/>
    <w:rsid w:val="002D14CA"/>
    <w:rsid w:val="002D7A99"/>
    <w:rsid w:val="002F1C7D"/>
    <w:rsid w:val="002F5535"/>
    <w:rsid w:val="002F5A7C"/>
    <w:rsid w:val="0030667A"/>
    <w:rsid w:val="0031590A"/>
    <w:rsid w:val="00324538"/>
    <w:rsid w:val="003308A3"/>
    <w:rsid w:val="003334A3"/>
    <w:rsid w:val="00341E2B"/>
    <w:rsid w:val="003425B4"/>
    <w:rsid w:val="003473D1"/>
    <w:rsid w:val="00351CF8"/>
    <w:rsid w:val="00354C00"/>
    <w:rsid w:val="003651DE"/>
    <w:rsid w:val="00366285"/>
    <w:rsid w:val="00390DD5"/>
    <w:rsid w:val="0039450D"/>
    <w:rsid w:val="003961C8"/>
    <w:rsid w:val="00397193"/>
    <w:rsid w:val="003A28B9"/>
    <w:rsid w:val="003B25E4"/>
    <w:rsid w:val="003B7CDA"/>
    <w:rsid w:val="003C2753"/>
    <w:rsid w:val="003D1AD5"/>
    <w:rsid w:val="003D5720"/>
    <w:rsid w:val="003F5B29"/>
    <w:rsid w:val="003F766E"/>
    <w:rsid w:val="00401B56"/>
    <w:rsid w:val="0040238E"/>
    <w:rsid w:val="004150EE"/>
    <w:rsid w:val="00450A97"/>
    <w:rsid w:val="00451F1E"/>
    <w:rsid w:val="00470038"/>
    <w:rsid w:val="0047646C"/>
    <w:rsid w:val="00477EA1"/>
    <w:rsid w:val="00486F8C"/>
    <w:rsid w:val="00491938"/>
    <w:rsid w:val="004C40AC"/>
    <w:rsid w:val="004D3BE8"/>
    <w:rsid w:val="004D7029"/>
    <w:rsid w:val="0050714A"/>
    <w:rsid w:val="005223CF"/>
    <w:rsid w:val="00524230"/>
    <w:rsid w:val="0052746D"/>
    <w:rsid w:val="00555852"/>
    <w:rsid w:val="00562429"/>
    <w:rsid w:val="00562E71"/>
    <w:rsid w:val="0056579D"/>
    <w:rsid w:val="00576DBE"/>
    <w:rsid w:val="005821F6"/>
    <w:rsid w:val="005A02EF"/>
    <w:rsid w:val="005B300D"/>
    <w:rsid w:val="005D430C"/>
    <w:rsid w:val="005E7962"/>
    <w:rsid w:val="005F3776"/>
    <w:rsid w:val="005F512F"/>
    <w:rsid w:val="00610457"/>
    <w:rsid w:val="00642BA6"/>
    <w:rsid w:val="006A15C4"/>
    <w:rsid w:val="006B4BFA"/>
    <w:rsid w:val="006B6623"/>
    <w:rsid w:val="006C0A5C"/>
    <w:rsid w:val="006D0A56"/>
    <w:rsid w:val="006E3505"/>
    <w:rsid w:val="006E4852"/>
    <w:rsid w:val="007141B6"/>
    <w:rsid w:val="00725451"/>
    <w:rsid w:val="007450A2"/>
    <w:rsid w:val="00765933"/>
    <w:rsid w:val="007667BD"/>
    <w:rsid w:val="00772220"/>
    <w:rsid w:val="00772FF2"/>
    <w:rsid w:val="007744B1"/>
    <w:rsid w:val="0077502F"/>
    <w:rsid w:val="007777F2"/>
    <w:rsid w:val="007A1148"/>
    <w:rsid w:val="007B7ABA"/>
    <w:rsid w:val="007E02D5"/>
    <w:rsid w:val="007E5792"/>
    <w:rsid w:val="007E7786"/>
    <w:rsid w:val="0080741D"/>
    <w:rsid w:val="00815A13"/>
    <w:rsid w:val="0084731C"/>
    <w:rsid w:val="008644E6"/>
    <w:rsid w:val="00864526"/>
    <w:rsid w:val="008651FD"/>
    <w:rsid w:val="00895D7B"/>
    <w:rsid w:val="008B04FF"/>
    <w:rsid w:val="008B5625"/>
    <w:rsid w:val="008C4F2C"/>
    <w:rsid w:val="008D264A"/>
    <w:rsid w:val="008E32BF"/>
    <w:rsid w:val="008E6152"/>
    <w:rsid w:val="008F6746"/>
    <w:rsid w:val="008F7C61"/>
    <w:rsid w:val="008F7F36"/>
    <w:rsid w:val="009033ED"/>
    <w:rsid w:val="00903676"/>
    <w:rsid w:val="00913C75"/>
    <w:rsid w:val="00916A6D"/>
    <w:rsid w:val="00921993"/>
    <w:rsid w:val="00926051"/>
    <w:rsid w:val="00931BB6"/>
    <w:rsid w:val="009362DF"/>
    <w:rsid w:val="00952C79"/>
    <w:rsid w:val="0095781D"/>
    <w:rsid w:val="00962729"/>
    <w:rsid w:val="00973CB4"/>
    <w:rsid w:val="00984D30"/>
    <w:rsid w:val="009A0687"/>
    <w:rsid w:val="009A5590"/>
    <w:rsid w:val="009A75C5"/>
    <w:rsid w:val="009B31B1"/>
    <w:rsid w:val="009C1AA0"/>
    <w:rsid w:val="009C422A"/>
    <w:rsid w:val="009D07D3"/>
    <w:rsid w:val="009D5C25"/>
    <w:rsid w:val="009E3AF4"/>
    <w:rsid w:val="009F3D47"/>
    <w:rsid w:val="00A012AD"/>
    <w:rsid w:val="00A0457B"/>
    <w:rsid w:val="00A07CE5"/>
    <w:rsid w:val="00A237C3"/>
    <w:rsid w:val="00A50AA7"/>
    <w:rsid w:val="00A515E7"/>
    <w:rsid w:val="00A908EB"/>
    <w:rsid w:val="00AA3953"/>
    <w:rsid w:val="00AC086D"/>
    <w:rsid w:val="00AC294C"/>
    <w:rsid w:val="00AC5054"/>
    <w:rsid w:val="00AD19A5"/>
    <w:rsid w:val="00AE2506"/>
    <w:rsid w:val="00AE5C3E"/>
    <w:rsid w:val="00AF114E"/>
    <w:rsid w:val="00AF5889"/>
    <w:rsid w:val="00B01149"/>
    <w:rsid w:val="00B15FA3"/>
    <w:rsid w:val="00B21BC4"/>
    <w:rsid w:val="00B2633D"/>
    <w:rsid w:val="00B44CC1"/>
    <w:rsid w:val="00B4545A"/>
    <w:rsid w:val="00B506E7"/>
    <w:rsid w:val="00B54FED"/>
    <w:rsid w:val="00B611EA"/>
    <w:rsid w:val="00B61B30"/>
    <w:rsid w:val="00B62E4E"/>
    <w:rsid w:val="00B73D19"/>
    <w:rsid w:val="00B76C3F"/>
    <w:rsid w:val="00B9436A"/>
    <w:rsid w:val="00BB6608"/>
    <w:rsid w:val="00BB6C01"/>
    <w:rsid w:val="00BC13F0"/>
    <w:rsid w:val="00BC6F17"/>
    <w:rsid w:val="00BD673C"/>
    <w:rsid w:val="00BE3C6A"/>
    <w:rsid w:val="00BE4807"/>
    <w:rsid w:val="00BE7967"/>
    <w:rsid w:val="00BF571C"/>
    <w:rsid w:val="00C105DD"/>
    <w:rsid w:val="00C179A1"/>
    <w:rsid w:val="00C211BD"/>
    <w:rsid w:val="00C336CE"/>
    <w:rsid w:val="00C44335"/>
    <w:rsid w:val="00C455C6"/>
    <w:rsid w:val="00C507BE"/>
    <w:rsid w:val="00C55CD6"/>
    <w:rsid w:val="00C84588"/>
    <w:rsid w:val="00C961DD"/>
    <w:rsid w:val="00CA5747"/>
    <w:rsid w:val="00CA6329"/>
    <w:rsid w:val="00CB4326"/>
    <w:rsid w:val="00CB5B36"/>
    <w:rsid w:val="00CC7996"/>
    <w:rsid w:val="00CE4406"/>
    <w:rsid w:val="00CE4DEE"/>
    <w:rsid w:val="00CF2A63"/>
    <w:rsid w:val="00D138E3"/>
    <w:rsid w:val="00D24A86"/>
    <w:rsid w:val="00D33ACB"/>
    <w:rsid w:val="00D439D0"/>
    <w:rsid w:val="00D47558"/>
    <w:rsid w:val="00D56F9B"/>
    <w:rsid w:val="00D6355E"/>
    <w:rsid w:val="00D73140"/>
    <w:rsid w:val="00D76940"/>
    <w:rsid w:val="00D9183B"/>
    <w:rsid w:val="00D9241E"/>
    <w:rsid w:val="00D92707"/>
    <w:rsid w:val="00DA52B4"/>
    <w:rsid w:val="00DB3F31"/>
    <w:rsid w:val="00DC5D62"/>
    <w:rsid w:val="00DC6A58"/>
    <w:rsid w:val="00DD341F"/>
    <w:rsid w:val="00DD758A"/>
    <w:rsid w:val="00DF4B88"/>
    <w:rsid w:val="00E0303E"/>
    <w:rsid w:val="00E24451"/>
    <w:rsid w:val="00E31008"/>
    <w:rsid w:val="00E3228F"/>
    <w:rsid w:val="00E625C3"/>
    <w:rsid w:val="00E63F62"/>
    <w:rsid w:val="00E67F2F"/>
    <w:rsid w:val="00E95171"/>
    <w:rsid w:val="00EA24A0"/>
    <w:rsid w:val="00EA2E49"/>
    <w:rsid w:val="00EB2901"/>
    <w:rsid w:val="00EC058F"/>
    <w:rsid w:val="00EC476F"/>
    <w:rsid w:val="00ED2583"/>
    <w:rsid w:val="00ED3095"/>
    <w:rsid w:val="00EE27FB"/>
    <w:rsid w:val="00EF1FDE"/>
    <w:rsid w:val="00F031E6"/>
    <w:rsid w:val="00F04F61"/>
    <w:rsid w:val="00F106F9"/>
    <w:rsid w:val="00F13C84"/>
    <w:rsid w:val="00F8127B"/>
    <w:rsid w:val="00F83D53"/>
    <w:rsid w:val="00F854BB"/>
    <w:rsid w:val="00F85A28"/>
    <w:rsid w:val="00F95E83"/>
    <w:rsid w:val="00FB77ED"/>
    <w:rsid w:val="00FC0903"/>
    <w:rsid w:val="00FC7EE4"/>
    <w:rsid w:val="00FD2ABA"/>
    <w:rsid w:val="00FE654C"/>
    <w:rsid w:val="00FF69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ABA"/>
  </w:style>
  <w:style w:type="paragraph" w:styleId="Heading1">
    <w:name w:val="heading 1"/>
    <w:basedOn w:val="Normal"/>
    <w:next w:val="Normal"/>
    <w:link w:val="Heading1Char"/>
    <w:uiPriority w:val="9"/>
    <w:qFormat/>
    <w:rsid w:val="00BB6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C0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83"/>
  </w:style>
  <w:style w:type="paragraph" w:styleId="Footer">
    <w:name w:val="footer"/>
    <w:basedOn w:val="Normal"/>
    <w:link w:val="FooterChar"/>
    <w:uiPriority w:val="99"/>
    <w:unhideWhenUsed/>
    <w:rsid w:val="00F9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3"/>
  </w:style>
  <w:style w:type="paragraph" w:styleId="BalloonText">
    <w:name w:val="Balloon Text"/>
    <w:basedOn w:val="Normal"/>
    <w:link w:val="BalloonTextChar"/>
    <w:uiPriority w:val="99"/>
    <w:semiHidden/>
    <w:unhideWhenUsed/>
    <w:rsid w:val="00F95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83"/>
    <w:rPr>
      <w:rFonts w:ascii="Tahoma" w:hAnsi="Tahoma" w:cs="Tahoma"/>
      <w:sz w:val="16"/>
      <w:szCs w:val="16"/>
    </w:rPr>
  </w:style>
  <w:style w:type="paragraph" w:customStyle="1" w:styleId="FreeFormA">
    <w:name w:val="Free Form A"/>
    <w:autoRedefine/>
    <w:rsid w:val="00F95E83"/>
    <w:pPr>
      <w:spacing w:after="0" w:line="240" w:lineRule="auto"/>
    </w:pPr>
    <w:rPr>
      <w:rFonts w:ascii="Times New Roman" w:eastAsia="ヒラギノ角ゴ Pro W3" w:hAnsi="Times New Roman" w:cs="Times New Roman"/>
      <w:color w:val="000000"/>
      <w:sz w:val="20"/>
      <w:szCs w:val="20"/>
    </w:rPr>
  </w:style>
  <w:style w:type="paragraph" w:styleId="ListParagraph">
    <w:name w:val="List Paragraph"/>
    <w:basedOn w:val="Normal"/>
    <w:uiPriority w:val="34"/>
    <w:qFormat/>
    <w:rsid w:val="00B4545A"/>
    <w:pPr>
      <w:ind w:left="720"/>
      <w:contextualSpacing/>
    </w:pPr>
  </w:style>
  <w:style w:type="paragraph" w:styleId="NoSpacing">
    <w:name w:val="No Spacing"/>
    <w:uiPriority w:val="1"/>
    <w:qFormat/>
    <w:rsid w:val="0031590A"/>
    <w:pPr>
      <w:spacing w:after="0" w:line="240" w:lineRule="auto"/>
    </w:pPr>
  </w:style>
  <w:style w:type="paragraph" w:styleId="NormalWeb">
    <w:name w:val="Normal (Web)"/>
    <w:basedOn w:val="Normal"/>
    <w:uiPriority w:val="99"/>
    <w:unhideWhenUsed/>
    <w:rsid w:val="00BE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807"/>
    <w:rPr>
      <w:color w:val="0000FF" w:themeColor="hyperlink"/>
      <w:u w:val="single"/>
    </w:rPr>
  </w:style>
  <w:style w:type="paragraph" w:customStyle="1" w:styleId="Default">
    <w:name w:val="Default"/>
    <w:rsid w:val="00BE480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A">
    <w:name w:val="Title A"/>
    <w:autoRedefine/>
    <w:rsid w:val="00AE2506"/>
    <w:pPr>
      <w:spacing w:before="120" w:after="60" w:line="240" w:lineRule="auto"/>
      <w:jc w:val="center"/>
      <w:outlineLvl w:val="0"/>
    </w:pPr>
    <w:rPr>
      <w:rFonts w:ascii="Arial Bold" w:eastAsia="ヒラギノ角ゴ Pro W3" w:hAnsi="Arial Bold" w:cs="Times New Roman"/>
      <w:color w:val="000000"/>
      <w:kern w:val="28"/>
      <w:sz w:val="40"/>
      <w:szCs w:val="20"/>
    </w:rPr>
  </w:style>
  <w:style w:type="table" w:styleId="TableGrid">
    <w:name w:val="Table Grid"/>
    <w:basedOn w:val="TableNormal"/>
    <w:uiPriority w:val="59"/>
    <w:rsid w:val="006B6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7E02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3D572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451F1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E5C3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8699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s.cdc.gov/grasp/fluview/fluportaldashboard.html" TargetMode="External"/><Relationship Id="rId13" Type="http://schemas.openxmlformats.org/officeDocument/2006/relationships/hyperlink" Target="https://www.ncdc.noaa.gov/cdo-web/datatools/selectloc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penflights.org/data.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uickfacts.census.gov/qfd/download_data.html" TargetMode="External"/><Relationship Id="rId5" Type="http://schemas.openxmlformats.org/officeDocument/2006/relationships/webSettings" Target="webSettings.xml"/><Relationship Id="rId15" Type="http://schemas.openxmlformats.org/officeDocument/2006/relationships/hyperlink" Target="http://www.cdc.gov/flu/fluvaxview/reports/reporti1314/trends/index.htm" TargetMode="External"/><Relationship Id="rId10" Type="http://schemas.openxmlformats.org/officeDocument/2006/relationships/hyperlink" Target="http://www.pewinternet.org/2015/01/09/demographics-of-key-social-networking-platforms-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is.cdc.gov/grasp/fluview/fluportaldashboard.html" TargetMode="External"/><Relationship Id="rId14" Type="http://schemas.openxmlformats.org/officeDocument/2006/relationships/hyperlink" Target="http://www.hhs.gov/nvpo/flu-vaccination-ma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5E65ED-7E81-49DA-AEC6-1681E48C9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4</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Ssu-Hsin</dc:creator>
  <cp:lastModifiedBy>Ssu-Hsin</cp:lastModifiedBy>
  <cp:revision>201</cp:revision>
  <dcterms:created xsi:type="dcterms:W3CDTF">2013-04-23T18:13:00Z</dcterms:created>
  <dcterms:modified xsi:type="dcterms:W3CDTF">2015-05-05T13:35:00Z</dcterms:modified>
</cp:coreProperties>
</file>