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1E921" w14:textId="77777777" w:rsidR="00A31A37" w:rsidRPr="00A31A37" w:rsidRDefault="00A31A37" w:rsidP="00A31A37">
      <w:pPr>
        <w:rPr>
          <w:b/>
          <w:bCs/>
        </w:rPr>
      </w:pPr>
      <w:r w:rsidRPr="00A31A37">
        <w:rPr>
          <w:b/>
          <w:bCs/>
        </w:rPr>
        <w:t>Introduzione</w:t>
      </w:r>
    </w:p>
    <w:p w14:paraId="57993EA0" w14:textId="77777777" w:rsidR="00A31A37" w:rsidRPr="00A31A37" w:rsidRDefault="00A31A37" w:rsidP="00A31A37">
      <w:r w:rsidRPr="00A31A37">
        <w:t xml:space="preserve">La traduzione automatica da linguaggio naturale a SPARQL rappresenta una sfida cruciale nell'ambito del </w:t>
      </w:r>
      <w:proofErr w:type="spellStart"/>
      <w:r w:rsidRPr="00A31A37">
        <w:t>Question</w:t>
      </w:r>
      <w:proofErr w:type="spellEnd"/>
      <w:r w:rsidRPr="00A31A37">
        <w:t xml:space="preserve"> </w:t>
      </w:r>
      <w:proofErr w:type="spellStart"/>
      <w:r w:rsidRPr="00A31A37">
        <w:t>Answering</w:t>
      </w:r>
      <w:proofErr w:type="spellEnd"/>
      <w:r w:rsidRPr="00A31A37">
        <w:t xml:space="preserve"> su Knowledge </w:t>
      </w:r>
      <w:proofErr w:type="spellStart"/>
      <w:r w:rsidRPr="00A31A37">
        <w:t>Graph</w:t>
      </w:r>
      <w:proofErr w:type="spellEnd"/>
      <w:r w:rsidRPr="00A31A37">
        <w:t xml:space="preserve"> (KGQA). I knowledge </w:t>
      </w:r>
      <w:proofErr w:type="spellStart"/>
      <w:r w:rsidRPr="00A31A37">
        <w:t>graph</w:t>
      </w:r>
      <w:proofErr w:type="spellEnd"/>
      <w:r w:rsidRPr="00A31A37">
        <w:t xml:space="preserve"> come </w:t>
      </w:r>
      <w:proofErr w:type="spellStart"/>
      <w:r w:rsidRPr="00A31A37">
        <w:t>Wikidata</w:t>
      </w:r>
      <w:proofErr w:type="spellEnd"/>
      <w:r w:rsidRPr="00A31A37">
        <w:t xml:space="preserve"> e </w:t>
      </w:r>
      <w:proofErr w:type="spellStart"/>
      <w:r w:rsidRPr="00A31A37">
        <w:t>DBpedia</w:t>
      </w:r>
      <w:proofErr w:type="spellEnd"/>
      <w:r w:rsidRPr="00A31A37">
        <w:t xml:space="preserve"> contengono miliardi di triple RDF che codificano informazioni strutturate, ma richiedono query SPARQL complesse per essere interrogati. Questo crea una barriera significativa per utenti non tecnici che necessitano di accedere a queste risorse informative.</w:t>
      </w:r>
    </w:p>
    <w:p w14:paraId="2D045D56" w14:textId="77777777" w:rsidR="00A31A37" w:rsidRPr="00A31A37" w:rsidRDefault="00A31A37" w:rsidP="00A31A37">
      <w:r w:rsidRPr="00A31A37">
        <w:t>Lo stato dell'arte nel campo ha visto un'evoluzione dalle tecniche rule-</w:t>
      </w:r>
      <w:proofErr w:type="spellStart"/>
      <w:r w:rsidRPr="00A31A37">
        <w:t>based</w:t>
      </w:r>
      <w:proofErr w:type="spellEnd"/>
      <w:r w:rsidRPr="00A31A37">
        <w:t xml:space="preserve"> e template-</w:t>
      </w:r>
      <w:proofErr w:type="spellStart"/>
      <w:r w:rsidRPr="00A31A37">
        <w:t>based</w:t>
      </w:r>
      <w:proofErr w:type="spellEnd"/>
      <w:r w:rsidRPr="00A31A37">
        <w:t xml:space="preserve"> verso approcci basati su deep learning. Recenti sviluppi hanno dimostrato l'efficacia dei Large Language Model (LLM) in questo dominio, con architetture come T5 e BART che hanno ottenuto risultati promettenti. Il paper di riferimento (</w:t>
      </w:r>
      <w:proofErr w:type="gramStart"/>
      <w:r w:rsidRPr="00A31A37">
        <w:t>doi:10.3390</w:t>
      </w:r>
      <w:proofErr w:type="gramEnd"/>
      <w:r w:rsidRPr="00A31A37">
        <w:t>/app14041521) introduce TSET, un framework che combina tecniche di Semantic Forwarding con modelli encoder-decoder, mentre altri approcci (</w:t>
      </w:r>
      <w:proofErr w:type="gramStart"/>
      <w:r w:rsidRPr="00A31A37">
        <w:t>doi:10.1016/j.eswa</w:t>
      </w:r>
      <w:proofErr w:type="gramEnd"/>
      <w:r w:rsidRPr="00A31A37">
        <w:t xml:space="preserve">.2023.120383, </w:t>
      </w:r>
      <w:proofErr w:type="gramStart"/>
      <w:r w:rsidRPr="00A31A37">
        <w:t>doi:10.1109</w:t>
      </w:r>
      <w:proofErr w:type="gramEnd"/>
      <w:r w:rsidRPr="00A31A37">
        <w:t xml:space="preserve">/ACCESS.2022.3188714) esplorano architetture alternative basate su </w:t>
      </w:r>
      <w:proofErr w:type="spellStart"/>
      <w:r w:rsidRPr="00A31A37">
        <w:t>Graph</w:t>
      </w:r>
      <w:proofErr w:type="spellEnd"/>
      <w:r w:rsidRPr="00A31A37">
        <w:t xml:space="preserve"> </w:t>
      </w:r>
      <w:proofErr w:type="spellStart"/>
      <w:r w:rsidRPr="00A31A37">
        <w:t>Neural</w:t>
      </w:r>
      <w:proofErr w:type="spellEnd"/>
      <w:r w:rsidRPr="00A31A37">
        <w:t xml:space="preserve"> Networks e </w:t>
      </w:r>
      <w:proofErr w:type="spellStart"/>
      <w:r w:rsidRPr="00A31A37">
        <w:t>attention</w:t>
      </w:r>
      <w:proofErr w:type="spellEnd"/>
      <w:r w:rsidRPr="00A31A37">
        <w:t xml:space="preserve"> </w:t>
      </w:r>
      <w:proofErr w:type="spellStart"/>
      <w:r w:rsidRPr="00A31A37">
        <w:t>mechanism</w:t>
      </w:r>
      <w:proofErr w:type="spellEnd"/>
      <w:r w:rsidRPr="00A31A37">
        <w:t>.</w:t>
      </w:r>
    </w:p>
    <w:p w14:paraId="1B7D8496" w14:textId="77777777" w:rsidR="00A31A37" w:rsidRPr="00A31A37" w:rsidRDefault="00A31A37" w:rsidP="00A31A37">
      <w:r w:rsidRPr="00A31A37">
        <w:t xml:space="preserve">La scelta di utilizzare modelli specializzati nel codice come CodeT5+ emerge dall'osservazione che SPARQL, essendo un linguaggio formale </w:t>
      </w:r>
      <w:proofErr w:type="spellStart"/>
      <w:r w:rsidRPr="00A31A37">
        <w:t>context</w:t>
      </w:r>
      <w:proofErr w:type="spellEnd"/>
      <w:r w:rsidRPr="00A31A37">
        <w:t xml:space="preserve">-free, condivide proprietà strutturali con i linguaggi di programmazione. Questa intuizione suggerisce che modelli </w:t>
      </w:r>
      <w:proofErr w:type="spellStart"/>
      <w:r w:rsidRPr="00A31A37">
        <w:t>pre</w:t>
      </w:r>
      <w:proofErr w:type="spellEnd"/>
      <w:r w:rsidRPr="00A31A37">
        <w:t>-addestrati su codice possano catturare meglio la sintassi e semantica delle query SPARQL rispetto a LLM generici.</w:t>
      </w:r>
    </w:p>
    <w:p w14:paraId="395427E3" w14:textId="77777777" w:rsidR="00A31A37" w:rsidRPr="00A31A37" w:rsidRDefault="00A31A37" w:rsidP="00A31A37">
      <w:pPr>
        <w:rPr>
          <w:b/>
          <w:bCs/>
        </w:rPr>
      </w:pPr>
      <w:r w:rsidRPr="00A31A37">
        <w:rPr>
          <w:b/>
          <w:bCs/>
        </w:rPr>
        <w:t>Descrizione del Lavoro</w:t>
      </w:r>
    </w:p>
    <w:p w14:paraId="6C8B0E8C" w14:textId="77777777" w:rsidR="00A31A37" w:rsidRPr="00A31A37" w:rsidRDefault="00A31A37" w:rsidP="00A31A37">
      <w:r w:rsidRPr="00A31A37">
        <w:t>Il sistema sviluppato si basa su CodeT5+ 220M, un modello encoder-decoder della famiglia T5 ottimizzato per task di generazione di codice. La scelta di questo modello deriva dalla sua capacità di comprendere strutture sintattiche complesse tipiche dei linguaggi formali, rendendolo particolarmente adatto alla generazione di query SPARQL sintatticamente corrette.</w:t>
      </w:r>
    </w:p>
    <w:p w14:paraId="2DB9FDF5" w14:textId="77777777" w:rsidR="00A31A37" w:rsidRPr="00A31A37" w:rsidRDefault="00A31A37" w:rsidP="00A31A37">
      <w:r w:rsidRPr="00A31A37">
        <w:lastRenderedPageBreak/>
        <w:t xml:space="preserve">L'implementazione ha richiesto l'utilizzo di tecniche di ottimizzazione per gestire i vincoli computazionali. È stata adottata la quantizzazione a 8-bit tramite </w:t>
      </w:r>
      <w:proofErr w:type="spellStart"/>
      <w:r w:rsidRPr="00A31A37">
        <w:t>BitsAndBytes</w:t>
      </w:r>
      <w:proofErr w:type="spellEnd"/>
      <w:r w:rsidRPr="00A31A37">
        <w:t xml:space="preserve">, riducendo l'occupazione di memoria del 75% con perdite trascurabili in accuratezza. Per il fine-tuning è stato implementato </w:t>
      </w:r>
      <w:proofErr w:type="spellStart"/>
      <w:r w:rsidRPr="00A31A37">
        <w:t>LoRA</w:t>
      </w:r>
      <w:proofErr w:type="spellEnd"/>
      <w:r w:rsidRPr="00A31A37">
        <w:t xml:space="preserve"> (Low-Rank Adaptation) con </w:t>
      </w:r>
      <w:proofErr w:type="spellStart"/>
      <w:r w:rsidRPr="00A31A37">
        <w:t>rank</w:t>
      </w:r>
      <w:proofErr w:type="spellEnd"/>
      <w:r w:rsidRPr="00A31A37">
        <w:t xml:space="preserve"> 8 e alpha 32, </w:t>
      </w:r>
      <w:proofErr w:type="spellStart"/>
      <w:r w:rsidRPr="00A31A37">
        <w:t>targettando</w:t>
      </w:r>
      <w:proofErr w:type="spellEnd"/>
      <w:r w:rsidRPr="00A31A37">
        <w:t xml:space="preserve"> specificamente i </w:t>
      </w:r>
      <w:proofErr w:type="spellStart"/>
      <w:r w:rsidRPr="00A31A37">
        <w:t>layer</w:t>
      </w:r>
      <w:proofErr w:type="spellEnd"/>
      <w:r w:rsidRPr="00A31A37">
        <w:t xml:space="preserve"> di attenzione del modello. Questa configurazione ha permesso di ridurre i parametri addestrabili a solo lo 0.7% del totale, mantenendo prestazioni competitive.</w:t>
      </w:r>
    </w:p>
    <w:p w14:paraId="53506576" w14:textId="77777777" w:rsidR="00A31A37" w:rsidRPr="00A31A37" w:rsidRDefault="00A31A37" w:rsidP="00A31A37">
      <w:r w:rsidRPr="00A31A37">
        <w:t xml:space="preserve">Il </w:t>
      </w:r>
      <w:proofErr w:type="spellStart"/>
      <w:r w:rsidRPr="00A31A37">
        <w:t>preprocessing</w:t>
      </w:r>
      <w:proofErr w:type="spellEnd"/>
      <w:r w:rsidRPr="00A31A37">
        <w:t xml:space="preserve"> dei dati ha seguito un approccio </w:t>
      </w:r>
      <w:proofErr w:type="gramStart"/>
      <w:r w:rsidRPr="00A31A37">
        <w:t>multi-fase</w:t>
      </w:r>
      <w:proofErr w:type="gramEnd"/>
      <w:r w:rsidRPr="00A31A37">
        <w:t xml:space="preserve"> ispirato al framework TSET. La normalizzazione delle variabili SPARQL ha standardizzato tutte le variabili in un formato sequenziale </w:t>
      </w:r>
      <w:proofErr w:type="gramStart"/>
      <w:r w:rsidRPr="00A31A37">
        <w:t>(?var</w:t>
      </w:r>
      <w:proofErr w:type="gramEnd"/>
      <w:r w:rsidRPr="00A31A37">
        <w:t>0</w:t>
      </w:r>
      <w:proofErr w:type="gramStart"/>
      <w:r w:rsidRPr="00A31A37">
        <w:t>, ?var</w:t>
      </w:r>
      <w:proofErr w:type="gramEnd"/>
      <w:r w:rsidRPr="00A31A37">
        <w:t xml:space="preserve">1, etc.), eliminando ambiguità sintattiche. La normalizzazione dei prefissi ha garantito l'uso consistente dei </w:t>
      </w:r>
      <w:proofErr w:type="spellStart"/>
      <w:r w:rsidRPr="00A31A37">
        <w:t>namespace</w:t>
      </w:r>
      <w:proofErr w:type="spellEnd"/>
      <w:r w:rsidRPr="00A31A37">
        <w:t xml:space="preserve"> standard (</w:t>
      </w:r>
      <w:proofErr w:type="spellStart"/>
      <w:r w:rsidRPr="00A31A37">
        <w:t>wd</w:t>
      </w:r>
      <w:proofErr w:type="spellEnd"/>
      <w:r w:rsidRPr="00A31A37">
        <w:t xml:space="preserve">: per entità, </w:t>
      </w:r>
      <w:proofErr w:type="spellStart"/>
      <w:r w:rsidRPr="00A31A37">
        <w:t>wdt</w:t>
      </w:r>
      <w:proofErr w:type="spellEnd"/>
      <w:r w:rsidRPr="00A31A37">
        <w:t xml:space="preserve">: per proprietà in </w:t>
      </w:r>
      <w:proofErr w:type="spellStart"/>
      <w:r w:rsidRPr="00A31A37">
        <w:t>Wikidata</w:t>
      </w:r>
      <w:proofErr w:type="spellEnd"/>
      <w:r w:rsidRPr="00A31A37">
        <w:t xml:space="preserve">). Il Semantic Forwarding ha arricchito le domande in linguaggio naturale con entità e relazioni </w:t>
      </w:r>
      <w:proofErr w:type="spellStart"/>
      <w:r w:rsidRPr="00A31A37">
        <w:t>gold</w:t>
      </w:r>
      <w:proofErr w:type="spellEnd"/>
      <w:r w:rsidRPr="00A31A37">
        <w:t xml:space="preserve"> estratte dalle query target, utilizzando il formato "domanda [SEP] entità [SEP] relazioni". Questo approccio ha migliorato significativamente la capacità del modello di identificare gli elementi semantici corretti.</w:t>
      </w:r>
    </w:p>
    <w:p w14:paraId="4E514851" w14:textId="77777777" w:rsidR="00A31A37" w:rsidRPr="00A31A37" w:rsidRDefault="00A31A37" w:rsidP="00A31A37">
      <w:r w:rsidRPr="00A31A37">
        <w:t>Il dataset LC-</w:t>
      </w:r>
      <w:proofErr w:type="spellStart"/>
      <w:r w:rsidRPr="00A31A37">
        <w:t>QuAD</w:t>
      </w:r>
      <w:proofErr w:type="spellEnd"/>
      <w:r w:rsidRPr="00A31A37">
        <w:t xml:space="preserve"> 2.0, contenente oltre 30.000 coppie domanda-SPARQL su </w:t>
      </w:r>
      <w:proofErr w:type="spellStart"/>
      <w:r w:rsidRPr="00A31A37">
        <w:t>Wikidata</w:t>
      </w:r>
      <w:proofErr w:type="spellEnd"/>
      <w:r w:rsidRPr="00A31A37">
        <w:t xml:space="preserve">, è stato processato attraverso queste trasformazioni. La divisione </w:t>
      </w:r>
      <w:proofErr w:type="spellStart"/>
      <w:r w:rsidRPr="00A31A37">
        <w:t>train</w:t>
      </w:r>
      <w:proofErr w:type="spellEnd"/>
      <w:r w:rsidRPr="00A31A37">
        <w:t xml:space="preserve">/test ha seguito uno split 90/10 preservando la distribuzione delle query per evitare data leakage. Durante il </w:t>
      </w:r>
      <w:proofErr w:type="spellStart"/>
      <w:r w:rsidRPr="00A31A37">
        <w:t>preprocessing</w:t>
      </w:r>
      <w:proofErr w:type="spellEnd"/>
      <w:r w:rsidRPr="00A31A37">
        <w:t xml:space="preserve">, è stata implementata una cache delle label </w:t>
      </w:r>
      <w:proofErr w:type="spellStart"/>
      <w:r w:rsidRPr="00A31A37">
        <w:t>Wikidata</w:t>
      </w:r>
      <w:proofErr w:type="spellEnd"/>
      <w:r w:rsidRPr="00A31A37">
        <w:t xml:space="preserve"> per ottimizzare le chiamate API e ridurre i tempi di elaborazione.</w:t>
      </w:r>
    </w:p>
    <w:p w14:paraId="1F502D36" w14:textId="77777777" w:rsidR="00A31A37" w:rsidRPr="00A31A37" w:rsidRDefault="00A31A37" w:rsidP="00A31A37">
      <w:r w:rsidRPr="00A31A37">
        <w:t xml:space="preserve">Il training è stato condotto con batch size 4, </w:t>
      </w:r>
      <w:proofErr w:type="spellStart"/>
      <w:r w:rsidRPr="00A31A37">
        <w:t>gradient</w:t>
      </w:r>
      <w:proofErr w:type="spellEnd"/>
      <w:r w:rsidRPr="00A31A37">
        <w:t xml:space="preserve"> </w:t>
      </w:r>
      <w:proofErr w:type="spellStart"/>
      <w:r w:rsidRPr="00A31A37">
        <w:t>accumulation</w:t>
      </w:r>
      <w:proofErr w:type="spellEnd"/>
      <w:r w:rsidRPr="00A31A37">
        <w:t xml:space="preserve"> steps 4 (batch effettivo 16), learning rate 2e-4 con </w:t>
      </w:r>
      <w:proofErr w:type="spellStart"/>
      <w:r w:rsidRPr="00A31A37">
        <w:t>warmup</w:t>
      </w:r>
      <w:proofErr w:type="spellEnd"/>
      <w:r w:rsidRPr="00A31A37">
        <w:t xml:space="preserve"> di 100 step. L'addestramento per 3 epoche su GPU T4 ha richiesto circa 8 ore. La tokenizzazione ha utilizzato lunghezza massima 256 token, sufficiente per il 98% delle query nel dataset.</w:t>
      </w:r>
    </w:p>
    <w:p w14:paraId="61E325AA" w14:textId="77777777" w:rsidR="00A31A37" w:rsidRPr="00A31A37" w:rsidRDefault="00A31A37" w:rsidP="00A31A37">
      <w:r w:rsidRPr="00A31A37">
        <w:t xml:space="preserve">La valutazione ha impiegato metriche multiple per catturare diversi aspetti della qualità della traduzione. I punteggi BLEU hanno misurato la similarità </w:t>
      </w:r>
      <w:r w:rsidRPr="00A31A37">
        <w:lastRenderedPageBreak/>
        <w:t>n-</w:t>
      </w:r>
      <w:proofErr w:type="spellStart"/>
      <w:r w:rsidRPr="00A31A37">
        <w:t>gram</w:t>
      </w:r>
      <w:proofErr w:type="spellEnd"/>
      <w:r w:rsidRPr="00A31A37">
        <w:t xml:space="preserve"> tra predizioni e </w:t>
      </w:r>
      <w:proofErr w:type="spellStart"/>
      <w:r w:rsidRPr="00A31A37">
        <w:t>reference</w:t>
      </w:r>
      <w:proofErr w:type="spellEnd"/>
      <w:r w:rsidRPr="00A31A37">
        <w:t>, con BLEU-4 all'86.16% indicando eccellente preservazione della struttura sintattica. Le metriche F1 a livello token hanno valutato la precisione nella generazione degli elementi SPARQL corretti. L'</w:t>
      </w:r>
      <w:proofErr w:type="spellStart"/>
      <w:r w:rsidRPr="00A31A37">
        <w:t>Exact</w:t>
      </w:r>
      <w:proofErr w:type="spellEnd"/>
      <w:r w:rsidRPr="00A31A37">
        <w:t xml:space="preserve"> Match del 54.68% riflette la complessità intrinseca del task, dove anche piccole variazioni sintattiche possono produrre query semanticamente equivalenti ma testualmente diverse.</w:t>
      </w:r>
    </w:p>
    <w:p w14:paraId="6228DBAC" w14:textId="77777777" w:rsidR="00A31A37" w:rsidRPr="00A31A37" w:rsidRDefault="00A31A37" w:rsidP="00A31A37">
      <w:pPr>
        <w:rPr>
          <w:b/>
          <w:bCs/>
        </w:rPr>
      </w:pPr>
      <w:r w:rsidRPr="00A31A37">
        <w:rPr>
          <w:b/>
          <w:bCs/>
        </w:rPr>
        <w:t>Conclusione</w:t>
      </w:r>
    </w:p>
    <w:p w14:paraId="13C93164" w14:textId="77777777" w:rsidR="00BE4579" w:rsidRDefault="00BE4579"/>
    <w:sectPr w:rsidR="00BE457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A37"/>
    <w:rsid w:val="00585D29"/>
    <w:rsid w:val="00A31A37"/>
    <w:rsid w:val="00BE4579"/>
    <w:rsid w:val="00C17B4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7A82F"/>
  <w15:chartTrackingRefBased/>
  <w15:docId w15:val="{00D4CD21-DB6F-4A3A-B4B8-1BAD98CC1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HAnsi" w:hAnsi="Palatino Linotype" w:cstheme="minorBidi"/>
        <w:kern w:val="2"/>
        <w:sz w:val="28"/>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31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31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31A3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Titolo4">
    <w:name w:val="heading 4"/>
    <w:basedOn w:val="Normale"/>
    <w:next w:val="Normale"/>
    <w:link w:val="Titolo4Carattere"/>
    <w:uiPriority w:val="9"/>
    <w:semiHidden/>
    <w:unhideWhenUsed/>
    <w:qFormat/>
    <w:rsid w:val="00A31A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31A37"/>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A31A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A31A37"/>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A31A37"/>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A31A37"/>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31A3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31A3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31A37"/>
    <w:rPr>
      <w:rFonts w:asciiTheme="minorHAnsi" w:eastAsiaTheme="majorEastAsia" w:hAnsiTheme="minorHAnsi" w:cstheme="majorBidi"/>
      <w:color w:val="0F4761" w:themeColor="accent1" w:themeShade="BF"/>
      <w:szCs w:val="28"/>
    </w:rPr>
  </w:style>
  <w:style w:type="character" w:customStyle="1" w:styleId="Titolo4Carattere">
    <w:name w:val="Titolo 4 Carattere"/>
    <w:basedOn w:val="Carpredefinitoparagrafo"/>
    <w:link w:val="Titolo4"/>
    <w:uiPriority w:val="9"/>
    <w:semiHidden/>
    <w:rsid w:val="00A31A37"/>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A31A37"/>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A31A37"/>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A31A37"/>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A31A37"/>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A31A37"/>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A31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31A3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31A37"/>
    <w:pPr>
      <w:numPr>
        <w:ilvl w:val="1"/>
      </w:numPr>
    </w:pPr>
    <w:rPr>
      <w:rFonts w:asciiTheme="minorHAnsi" w:eastAsiaTheme="majorEastAsia" w:hAnsiTheme="minorHAnsi" w:cstheme="majorBidi"/>
      <w:color w:val="595959" w:themeColor="text1" w:themeTint="A6"/>
      <w:spacing w:val="15"/>
      <w:szCs w:val="28"/>
    </w:rPr>
  </w:style>
  <w:style w:type="character" w:customStyle="1" w:styleId="SottotitoloCarattere">
    <w:name w:val="Sottotitolo Carattere"/>
    <w:basedOn w:val="Carpredefinitoparagrafo"/>
    <w:link w:val="Sottotitolo"/>
    <w:uiPriority w:val="11"/>
    <w:rsid w:val="00A31A37"/>
    <w:rPr>
      <w:rFonts w:asciiTheme="minorHAnsi" w:eastAsiaTheme="majorEastAsia" w:hAnsiTheme="minorHAnsi" w:cstheme="majorBidi"/>
      <w:color w:val="595959" w:themeColor="text1" w:themeTint="A6"/>
      <w:spacing w:val="15"/>
      <w:szCs w:val="28"/>
    </w:rPr>
  </w:style>
  <w:style w:type="paragraph" w:styleId="Citazione">
    <w:name w:val="Quote"/>
    <w:basedOn w:val="Normale"/>
    <w:next w:val="Normale"/>
    <w:link w:val="CitazioneCarattere"/>
    <w:uiPriority w:val="29"/>
    <w:qFormat/>
    <w:rsid w:val="00A31A3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31A37"/>
    <w:rPr>
      <w:i/>
      <w:iCs/>
      <w:color w:val="404040" w:themeColor="text1" w:themeTint="BF"/>
    </w:rPr>
  </w:style>
  <w:style w:type="paragraph" w:styleId="Paragrafoelenco">
    <w:name w:val="List Paragraph"/>
    <w:basedOn w:val="Normale"/>
    <w:uiPriority w:val="34"/>
    <w:qFormat/>
    <w:rsid w:val="00A31A37"/>
    <w:pPr>
      <w:ind w:left="720"/>
      <w:contextualSpacing/>
    </w:pPr>
  </w:style>
  <w:style w:type="character" w:styleId="Enfasiintensa">
    <w:name w:val="Intense Emphasis"/>
    <w:basedOn w:val="Carpredefinitoparagrafo"/>
    <w:uiPriority w:val="21"/>
    <w:qFormat/>
    <w:rsid w:val="00A31A37"/>
    <w:rPr>
      <w:i/>
      <w:iCs/>
      <w:color w:val="0F4761" w:themeColor="accent1" w:themeShade="BF"/>
    </w:rPr>
  </w:style>
  <w:style w:type="paragraph" w:styleId="Citazioneintensa">
    <w:name w:val="Intense Quote"/>
    <w:basedOn w:val="Normale"/>
    <w:next w:val="Normale"/>
    <w:link w:val="CitazioneintensaCarattere"/>
    <w:uiPriority w:val="30"/>
    <w:qFormat/>
    <w:rsid w:val="00A31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31A37"/>
    <w:rPr>
      <w:i/>
      <w:iCs/>
      <w:color w:val="0F4761" w:themeColor="accent1" w:themeShade="BF"/>
    </w:rPr>
  </w:style>
  <w:style w:type="character" w:styleId="Riferimentointenso">
    <w:name w:val="Intense Reference"/>
    <w:basedOn w:val="Carpredefinitoparagrafo"/>
    <w:uiPriority w:val="32"/>
    <w:qFormat/>
    <w:rsid w:val="00A31A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590</Words>
  <Characters>3812</Characters>
  <Application>Microsoft Office Word</Application>
  <DocSecurity>0</DocSecurity>
  <Lines>68</Lines>
  <Paragraphs>14</Paragraphs>
  <ScaleCrop>false</ScaleCrop>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Romolo David d'Alessandro</dc:creator>
  <cp:keywords/>
  <dc:description/>
  <cp:lastModifiedBy>Romolo David d'Alessandro</cp:lastModifiedBy>
  <cp:revision>1</cp:revision>
  <dcterms:created xsi:type="dcterms:W3CDTF">2025-10-01T11:37:00Z</dcterms:created>
  <dcterms:modified xsi:type="dcterms:W3CDTF">2025-10-01T11:39:00Z</dcterms:modified>
</cp:coreProperties>
</file>