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8.pdf" ContentType="application/pdf"/>
  <Override PartName="/word/media/rId37.pdf" ContentType="application/pdf"/>
  <Override PartName="/word/media/rId39.pdf" ContentType="application/pdf"/>
  <Override PartName="/word/media/rId40.pdf" ContentType="application/pdf"/>
  <Override PartName="/word/media/rId41.pdf" ContentType="application/pdf"/>
  <Override PartName="/word/media/rId67.pdf" ContentType="application/pdf"/>
  <Override PartName="/word/media/rId58.pdf" ContentType="application/pdf"/>
  <Override PartName="/word/media/rId56.pdf" ContentType="application/pdf"/>
  <Override PartName="/word/media/rId48.pdf" ContentType="application/pdf"/>
  <Override PartName="/word/media/rId62.pdf" ContentType="application/pdf"/>
  <Override PartName="/word/media/rId57.pdf" ContentType="application/pdf"/>
  <Override PartName="/word/media/rId54.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lightweight CNN+SSM / DecisionMamba (E). Training and testing are conducted in the Flightmare simulator on a 60 m obstacle course with spheres and trees at 5 m/s and 7 m/s, totaling 60+ training runs and hundreds of simulated flight tests.</w:t>
      </w:r>
    </w:p>
    <w:p>
      <w:pPr>
        <w:pStyle w:val="BodyText"/>
      </w:pPr>
      <w:r>
        <w:t xml:space="preserve">Our results yield several key findings. First, DecisionMamba (2.19 M parameters, 7.1 ms inference) achieves the best overall performance with only 1 crash. Second, cross-architecture distillation dramatically improves all student models: B+ and E are elevated from 3 crashes to 1 crash, surpassing the teacher’s 2 crashes, while distilled E achieves the finest control quality (MAE = 0.220, jerk = 0.023). Third—and most critically—we discover a hard constraint on distillation success: the student encoder must preserve spatial structure. CNN encoders align with ViT features via MSE, whereas pure SSM encoders that flatten spatial dimensions through scanning cause alignment to fail entirely (gt_loss surges from 0.02 to 0.83), making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29" w:name="端到端视觉避障原理"/>
      <w:r>
        <w:t xml:space="preserve">端到端视觉避障原理</w:t>
      </w:r>
      <w:bookmarkEnd w:id="2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0" w:name="状态空间模型与mamba架构-1"/>
      <w:r>
        <w:t xml:space="preserve">状态空间模型与Mamba架构</w:t>
      </w:r>
      <w:bookmarkEnd w:id="30"/>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BodyText"/>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BodyText"/>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1" w:name="知识蒸馏"/>
      <w:r>
        <w:t xml:space="preserve">知识蒸馏</w:t>
      </w:r>
      <w:bookmarkEnd w:id="31"/>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32" w:name="本章小结"/>
      <w:r>
        <w:t xml:space="preserve">本章小结</w:t>
      </w:r>
      <w:bookmarkEnd w:id="3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33" w:name="架构设计与蒸馏方法"/>
      <w:r>
        <w:t xml:space="preserve">架构设计与蒸馏方法</w:t>
      </w:r>
      <w:bookmarkEnd w:id="33"/>
    </w:p>
    <w:p>
      <w:pPr>
        <w:pStyle w:val="Heading2"/>
      </w:pPr>
      <w:bookmarkStart w:id="34" w:name="教师模型vitlstm"/>
      <w:r>
        <w:t xml:space="preserve">教师模型：ViT+LSTM</w:t>
      </w:r>
      <w:bookmarkEnd w:id="34"/>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35" w:name="学生模型六种mamba变体"/>
      <w:r>
        <w:t xml:space="preserve">学生模型：六种Mamba变体</w:t>
      </w:r>
      <w:bookmarkEnd w:id="35"/>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8"/>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4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41"/>
                    <a:stretch>
                      <a:fillRect/>
                    </a:stretch>
                  </pic:blipFill>
                  <pic:spPr bwMode="auto">
                    <a:xfrm>
                      <a:off x="0" y="0"/>
                      <a:ext cx="5334000" cy="2333625"/>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42" w:name="branch-avmambalstm"/>
      <w:r>
        <w:t xml:space="preserve">Branch A：VMamba+LSTM</w:t>
      </w:r>
      <w:bookmarkEnd w:id="42"/>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43" w:name="branch-b与bmambavision系列"/>
      <w:r>
        <w:t xml:space="preserve">Branch B与B+：MambaVision系列</w:t>
      </w:r>
      <w:bookmarkEnd w:id="43"/>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44" w:name="branch-ccnnmamba3"/>
      <w:r>
        <w:t xml:space="preserve">Branch C：CNN+Mamba3</w:t>
      </w:r>
      <w:bookmarkEnd w:id="44"/>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45" w:name="branch-dsth-mamba"/>
      <w:r>
        <w:t xml:space="preserve">Branch D：STH-Mamba</w:t>
      </w:r>
      <w:bookmarkEnd w:id="4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46" w:name="branch-ecnnssmdecisionmamba"/>
      <w:r>
        <w:t xml:space="preserve">Branch E：CNN+SSM（DecisionMamba）</w:t>
      </w:r>
      <w:bookmarkEnd w:id="46"/>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47" w:name="跨架构蒸馏框架"/>
      <w:r>
        <w:t xml:space="preserve">跨架构蒸馏框架</w:t>
      </w:r>
      <w:bookmarkEnd w:id="47"/>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49" w:name="对照架构cnn基线branch-g"/>
      <w:r>
        <w:t xml:space="preserve">对照架构：CNN基线（Branch G）</w:t>
      </w:r>
      <w:bookmarkEnd w:id="49"/>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50" w:name="架构设计验证实验"/>
      <w:r>
        <w:t xml:space="preserve">架构设计验证实验</w:t>
      </w:r>
      <w:bookmarkEnd w:id="50"/>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51" w:name="本章小结-1"/>
      <w:r>
        <w:t xml:space="preserve">本章小结</w:t>
      </w:r>
      <w:bookmarkEnd w:id="51"/>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52" w:name="主实验与模型性能评估"/>
      <w:r>
        <w:t xml:space="preserve">主实验与模型性能评估</w:t>
      </w:r>
      <w:bookmarkEnd w:id="52"/>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53" w:name="实验环境与设置"/>
      <w:r>
        <w:t xml:space="preserve">实验环境与设置</w:t>
      </w:r>
      <w:bookmarkEnd w:id="53"/>
    </w:p>
    <w:p>
      <w:pPr>
        <w:pStyle w:val="FirstParagraph"/>
      </w:pPr>
      <w:r>
        <w:rPr>
          <w:b/>
        </w:rPr>
        <w:t xml:space="preserve">仿真环境.</w:t>
      </w:r>
      <w:r>
        <w:t xml:space="preserve"> </w:t>
      </w: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55" w:name="主实验结果"/>
      <w:r>
        <w:t xml:space="preserve">主实验结果</w:t>
      </w:r>
      <w:bookmarkEnd w:id="55"/>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59" w:name="各分支详细性能分析"/>
      <w:r>
        <w:t xml:space="preserve">各分支详细性能分析</w:t>
      </w:r>
      <w:bookmarkEnd w:id="59"/>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60" w:name="参数效率分析"/>
      <w:r>
        <w:t xml:space="preserve">参数效率分析</w:t>
      </w:r>
      <w:bookmarkEnd w:id="60"/>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61" w:name="速度鲁棒性与环境泛化"/>
      <w:r>
        <w:t xml:space="preserve">速度鲁棒性与环境泛化</w:t>
      </w:r>
      <w:bookmarkEnd w:id="61"/>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63" w:name="本章小结-2"/>
      <w:r>
        <w:t xml:space="preserve">本章小结</w:t>
      </w:r>
      <w:bookmarkEnd w:id="63"/>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64" w:name="消融实验与设计分析"/>
      <w:r>
        <w:t xml:space="preserve">消融实验与设计分析</w:t>
      </w:r>
      <w:bookmarkEnd w:id="64"/>
    </w:p>
    <w:p>
      <w:pPr>
        <w:pStyle w:val="FirstParagraph"/>
      </w:pPr>
      <w:r>
        <w:t xml:space="preserve">为深入理解影响 Mamba 避障性能的关键设计因素，本章围绕数据增强、多步预测、损失权重和训练策略四个维度进行系统消融。</w:t>
      </w:r>
    </w:p>
    <w:p>
      <w:pPr>
        <w:pStyle w:val="Heading2"/>
      </w:pPr>
      <w:bookmarkStart w:id="65" w:name="消融实验"/>
      <w:r>
        <w:t xml:space="preserve">消融实验</w:t>
      </w:r>
      <w:bookmarkEnd w:id="65"/>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66" w:name="数据增强消融"/>
      <w:r>
        <w:t xml:space="preserve">数据增强消融</w:t>
      </w:r>
      <w:bookmarkEnd w:id="66"/>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68" w:name="多步预测消融"/>
      <w:r>
        <w:t xml:space="preserve">多步预测消融</w:t>
      </w:r>
      <w:bookmarkEnd w:id="68"/>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69" w:name="损失权重消融"/>
      <w:r>
        <w:t xml:space="preserve">损失权重消融</w:t>
      </w:r>
      <w:bookmarkEnd w:id="69"/>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70" w:name="born-again-蒸馏"/>
      <w:r>
        <w:t xml:space="preserve">Born-again 蒸馏</w:t>
      </w:r>
      <w:bookmarkEnd w:id="70"/>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71" w:name="大规模伪标签训练"/>
      <w:r>
        <w:t xml:space="preserve">大规模伪标签训练</w:t>
      </w:r>
      <w:bookmarkEnd w:id="71"/>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72" w:name="关键设计因素综合对比"/>
      <w:r>
        <w:t xml:space="preserve">关键设计因素综合对比</w:t>
      </w:r>
      <w:bookmarkEnd w:id="72"/>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73" w:name="讨论"/>
      <w:r>
        <w:t xml:space="preserve">讨论</w:t>
      </w:r>
      <w:bookmarkEnd w:id="73"/>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74" w:name="本章小结-3"/>
      <w:r>
        <w:t xml:space="preserve">本章小结</w:t>
      </w:r>
      <w:bookmarkEnd w:id="7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75" w:name="总结与展望"/>
      <w:r>
        <w:t xml:space="preserve">总结与展望</w:t>
      </w:r>
      <w:bookmarkEnd w:id="75"/>
    </w:p>
    <w:p>
      <w:pPr>
        <w:pStyle w:val="Heading2"/>
      </w:pPr>
      <w:bookmarkStart w:id="76" w:name="工作总结"/>
      <w:r>
        <w:t xml:space="preserve">工作总结</w:t>
      </w:r>
      <w:bookmarkEnd w:id="7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本文完成了大规模、多维度、系统化的实验工作。整个实验方案的设计遵循了"先建立基线、再引入蒸馏、最后消融验证"的递进逻辑，整体实验方案可归纳为以下三个层次。</w:t>
      </w:r>
      <w:r>
        <w:rPr>
          <w:b/>
        </w:rPr>
        <w:t xml:space="preserve">主实验部分：</w:t>
      </w:r>
      <w:r>
        <w:t xml:space="preserve">六种架构</w:t>
      </w:r>
      <w:r>
        <w:t xml:space="preserve"> </w:t>
      </w:r>
      <m:oMath>
        <m:r>
          <m:t>×</m:t>
        </m:r>
      </m:oMath>
      <w:r>
        <w:t xml:space="preserve"> </w:t>
      </w:r>
      <w:r>
        <w:t xml:space="preserve">两种训练策略（行为克隆与知识蒸馏）</w:t>
      </w:r>
      <m:oMath>
        <m:r>
          <m:t>×</m:t>
        </m:r>
      </m:oMath>
      <w:r>
        <w:t xml:space="preserve"> </w:t>
      </w:r>
      <w:r>
        <w:t xml:space="preserve">两种飞行速度（5m/s、7m/s）</w:t>
      </w:r>
      <m:oMath>
        <m:r>
          <m:t>×</m:t>
        </m:r>
      </m:oMath>
      <w:r>
        <w:t xml:space="preserve"> </w:t>
      </w:r>
      <w:r>
        <w:t xml:space="preserve">两种障碍物环境（球体、树木）</w:t>
      </w:r>
      <m:oMath>
        <m:r>
          <m:t>=</m:t>
        </m:r>
        <m:r>
          <m:t>6</m:t>
        </m:r>
        <m:r>
          <m:t>×</m:t>
        </m:r>
        <m:r>
          <m:t>2</m:t>
        </m:r>
        <m:r>
          <m:t>×</m:t>
        </m:r>
        <m:r>
          <m:t>2</m:t>
        </m:r>
        <m:r>
          <m:t>×</m:t>
        </m:r>
        <m:r>
          <m:t>2</m:t>
        </m:r>
        <m:r>
          <m:t>=</m:t>
        </m:r>
        <m:r>
          <m:t>48</m:t>
        </m:r>
      </m:oMath>
      <w:r>
        <w:t xml:space="preserve"> </w:t>
      </w:r>
      <w:r>
        <w:t xml:space="preserve">组主要对照实验，涵盖了完整的速度鲁棒性与环境泛化评估。</w:t>
      </w:r>
      <w:r>
        <w:rPr>
          <w:b/>
        </w:rPr>
        <w:t xml:space="preserve">消融实验部分：</w:t>
      </w:r>
      <w:r>
        <w:t xml:space="preserve">围绕五个关键设计维度开展了系统消融研究：（1）数据增强消融（5种架构</w:t>
      </w:r>
      <w:r>
        <w:t xml:space="preserve"> </w:t>
      </w:r>
      <m:oMath>
        <m:r>
          <m:t>×</m:t>
        </m:r>
      </m:oMath>
      <w:r>
        <w:t xml:space="preserve"> </w:t>
      </w:r>
      <w:r>
        <w:t xml:space="preserve">2种环境 = 10组）；（2）多步预测消融（2种最优架构</w:t>
      </w:r>
      <w:r>
        <w:t xml:space="preserve"> </w:t>
      </w:r>
      <m:oMath>
        <m:r>
          <m:t>×</m:t>
        </m:r>
      </m:oMath>
      <w:r>
        <w:t xml:space="preserve"> </w:t>
      </w:r>
      <w:r>
        <w:t xml:space="preserve">4种步长</w:t>
      </w:r>
      <w:r>
        <w:t xml:space="preserve"> </w:t>
      </w:r>
      <m:oMath>
        <m:r>
          <m:t>×</m:t>
        </m:r>
      </m:oMath>
      <w:r>
        <w:t xml:space="preserve"> </w:t>
      </w:r>
      <w:r>
        <w:t xml:space="preserve">2种训练方式 = 16组）；（3）蒸馏损失权重消融（4种权重组合）；（4）Born-again蒸馏（2种配置）；（5）伪标签规模化。消融实验共计20余组，全面刻画了各设计因素对避障性能的影响规律。</w:t>
      </w:r>
      <w:r>
        <w:rPr>
          <w:b/>
        </w:rPr>
        <w:t xml:space="preserve">综合统计：</w:t>
      </w:r>
      <w:r>
        <w:t xml:space="preserve">本文累计完成60余轮训练和100余次Flightmare仿真测试，全文引用44篇参考文献，包含9幅图表和6张数据表，并在附录中提供了完整的架构参数分解、消融实验数据、训练损失曲线分析和代码开源信息。</w:t>
      </w:r>
      <w:r>
        <w:rPr>
          <w:b/>
        </w:rPr>
        <w:t xml:space="preserve">论文组织：</w:t>
      </w:r>
      <w:r>
        <w:t xml:space="preserve">全文共五章，依次为绪论（研究背景与现状）、相关理论与技术基础（BC、Mamba数学原理与知识蒸馏）、架构设计与蒸馏方法（六种Mamba架构设计及两组验证实验）、实验结果与分析（主实验、速度鲁棒性、环境泛化、六类消融实验）和本章总结与展望，附录包括五部分补充材料。</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77" w:name="主要创新点"/>
      <w:r>
        <w:t xml:space="preserve">主要创新点</w:t>
      </w:r>
      <w:bookmarkEnd w:id="77"/>
    </w:p>
    <w:p>
      <w:pPr>
        <w:pStyle w:val="FirstParagraph"/>
      </w:pPr>
      <w:r>
        <w:t xml:space="preserve">本文的主要创新点可归纳为以下三个方面：</w:t>
      </w:r>
    </w:p>
    <w:p>
      <w:pPr>
        <w:pStyle w:val="BodyText"/>
      </w:pPr>
      <w:r>
        <w:t xml:space="preserve">（1）</w:t>
      </w:r>
      <w:r>
        <w:rPr>
          <w:b/>
        </w:rPr>
        <w:t xml:space="preserve">首次系统比较多种SSM架构在四旋翼控制中的适用性。</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78" w:name="研究局限"/>
      <w:r>
        <w:t xml:space="preserve">研究局限</w:t>
      </w:r>
      <w:bookmarkEnd w:id="7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79" w:name="未来展望"/>
      <w:r>
        <w:t xml:space="preserve">未来展望</w:t>
      </w:r>
      <w:bookmarkEnd w:id="7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80" w:name="致谢"/>
      <w:r>
        <w:t xml:space="preserve">致谢</w:t>
      </w:r>
      <w:bookmarkEnd w:id="8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81" w:name="附录"/>
      <w:r>
        <w:t xml:space="preserve">附录</w:t>
      </w:r>
      <w:bookmarkEnd w:id="81"/>
    </w:p>
    <w:p>
      <w:pPr>
        <w:pStyle w:val="Heading2"/>
      </w:pPr>
      <w:bookmarkStart w:id="82" w:name="各分支详细架构参数"/>
      <w:r>
        <w:t xml:space="preserve">各分支详细架构参数</w:t>
      </w:r>
      <w:bookmarkEnd w:id="8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83" w:name="完整消融实验结果"/>
      <w:r>
        <w:t xml:space="preserve">完整消融实验结果</w:t>
      </w:r>
      <w:bookmarkEnd w:id="8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84" w:name="数据增强消融结果"/>
      <w:r>
        <w:t xml:space="preserve">数据增强消融结果</w:t>
      </w:r>
      <w:bookmarkEnd w:id="8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85" w:name="多步预测消融结果"/>
      <w:r>
        <w:t xml:space="preserve">多步预测消融结果</w:t>
      </w:r>
      <w:bookmarkEnd w:id="8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86" w:name="损失权重消融结果"/>
      <w:r>
        <w:t xml:space="preserve">损失权重消融结果</w:t>
      </w:r>
      <w:bookmarkEnd w:id="8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87" w:name="born-again-蒸馏与伪标签训练结果"/>
      <w:r>
        <w:t xml:space="preserve">Born-again 蒸馏与伪标签训练结果</w:t>
      </w:r>
      <w:bookmarkEnd w:id="8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88" w:name="训练超参数与配置"/>
      <w:r>
        <w:t xml:space="preserve">训练超参数与配置</w:t>
      </w:r>
      <w:bookmarkEnd w:id="8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89" w:name="训练损失曲线分析"/>
      <w:r>
        <w:t xml:space="preserve">训练损失曲线分析</w:t>
      </w:r>
      <w:bookmarkEnd w:id="8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90" w:name="仿真环境详细规格"/>
      <w:r>
        <w:t xml:space="preserve">仿真环境详细规格</w:t>
      </w:r>
      <w:bookmarkEnd w:id="90"/>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91" w:name="代码与数据可用性"/>
      <w:r>
        <w:t xml:space="preserve">代码与数据可用性</w:t>
      </w:r>
      <w:bookmarkEnd w:id="9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9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9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8" Target="media/rId38.pdf" /><Relationship Type="http://schemas.openxmlformats.org/officeDocument/2006/relationships/image" Id="rId37" Target="media/rId37.pdf" /><Relationship Type="http://schemas.openxmlformats.org/officeDocument/2006/relationships/image" Id="rId39" Target="media/rId39.pdf" /><Relationship Type="http://schemas.openxmlformats.org/officeDocument/2006/relationships/image" Id="rId40" Target="media/rId40.pdf" /><Relationship Type="http://schemas.openxmlformats.org/officeDocument/2006/relationships/image" Id="rId41" Target="media/rId41.pdf" /><Relationship Type="http://schemas.openxmlformats.org/officeDocument/2006/relationships/image" Id="rId67" Target="media/rId67.pdf" /><Relationship Type="http://schemas.openxmlformats.org/officeDocument/2006/relationships/image" Id="rId58" Target="media/rId58.pdf" /><Relationship Type="http://schemas.openxmlformats.org/officeDocument/2006/relationships/image" Id="rId56" Target="media/rId56.pdf" /><Relationship Type="http://schemas.openxmlformats.org/officeDocument/2006/relationships/image" Id="rId48" Target="media/rId48.pdf" /><Relationship Type="http://schemas.openxmlformats.org/officeDocument/2006/relationships/image" Id="rId62" Target="media/rId62.pdf" /><Relationship Type="http://schemas.openxmlformats.org/officeDocument/2006/relationships/image" Id="rId57" Target="media/rId57.pdf" /><Relationship Type="http://schemas.openxmlformats.org/officeDocument/2006/relationships/image" Id="rId54" Target="media/rId54.pdf" /><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2026-05-11T06:13:39Z</dcterms:created>
  <dcterms:modified xsi:type="dcterms:W3CDTF">2026-05-11T06:13:39Z</dcterms:modified>
</cp:coreProperties>
</file>

<file path=docProps/custom.xml><?xml version="1.0" encoding="utf-8"?>
<Properties xmlns="http://schemas.openxmlformats.org/officeDocument/2006/custom-properties" xmlns:vt="http://schemas.openxmlformats.org/officeDocument/2006/docPropsVTypes"/>
</file>