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8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9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9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9"/>
        <w:numPr>
          <w:ilvl w:val="0"/>
          <w:numId w:val="9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Статистика запроса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sz w:val="20"/>
          <w:szCs w:val="20"/>
          <w:lang w:val="ru-RU"/>
        </w:rPr>
      </w:pPr>
      <w:r>
        <w:rPr>
          <w:rFonts w:ascii="Consolas" w:hAnsi="Consolas"/>
          <w:color w:val="0000FF"/>
          <w:sz w:val="19"/>
          <w:szCs w:val="20"/>
          <w:lang w:val="ru-RU"/>
        </w:rPr>
        <w:t>SET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STATISTICS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TIME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</w:p>
    <w:p>
      <w:pPr>
        <w:pStyle w:val="Normal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DELAY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'00:00:05'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ВНИМАНИЕ! Это 5 секунд к общему времени.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9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9"/>
        <w:numPr>
          <w:ilvl w:val="0"/>
          <w:numId w:val="9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2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3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4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Текущий/основной потоки</w:t>
      </w:r>
      <w:r>
        <w:rPr>
          <w:rFonts w:ascii="Verdana" w:hAnsi="Verdana"/>
          <w:sz w:val="20"/>
          <w:szCs w:val="20"/>
          <w:lang w:val="en-US"/>
        </w:rPr>
        <w:t>: GetCurrentThreadId, MainThreadID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Тип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элемента</w:t>
      </w:r>
      <w:r>
        <w:rPr>
          <w:rFonts w:ascii="Verdana" w:hAnsi="Verdana"/>
          <w:sz w:val="20"/>
          <w:szCs w:val="20"/>
          <w:lang w:val="ru-RU"/>
        </w:rPr>
        <w:t xml:space="preserve"> массива констант: </w:t>
      </w:r>
      <w:r>
        <w:rPr>
          <w:rFonts w:ascii="Verdana" w:hAnsi="Verdana"/>
          <w:sz w:val="20"/>
          <w:szCs w:val="20"/>
          <w:lang w:val="en-US"/>
        </w:rPr>
        <w:t>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  <w:lang w:val="en-US"/>
        </w:rPr>
        <w:t>arRec.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eastAsia="Arial" w:cs="" w:ascii="Verdana" w:hAnsi="Verdana"/>
          <w:b w:val="false"/>
          <w:i w:val="false"/>
          <w:caps w:val="false"/>
          <w:smallCaps w:val="false"/>
          <w:color w:val="222222"/>
          <w:spacing w:val="0"/>
          <w:kern w:val="0"/>
          <w:sz w:val="20"/>
          <w:szCs w:val="20"/>
          <w:lang w:val="ru-RU" w:eastAsia="en-US" w:bidi="ar-SA"/>
        </w:rPr>
        <w:t xml:space="preserve">Изменение размерности вариант-массива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en-US"/>
        </w:rPr>
        <w:t xml:space="preserve">VarArrayRedim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ru-RU"/>
        </w:rPr>
        <w:t>(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en-US"/>
        </w:rPr>
        <w:t>Variant-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ru-RU"/>
        </w:rPr>
        <w:t xml:space="preserve">а с типом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en-US"/>
        </w:rPr>
        <w:t>varArray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ru-RU"/>
        </w:rPr>
        <w:t>)</w:t>
      </w:r>
      <w:r>
        <w:rPr>
          <w:rFonts w:ascii="Verdana" w:hAnsi="Verdana"/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10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10"/>
        </w:numPr>
        <w:spacing w:before="0" w:after="0"/>
        <w:contextualSpacing w:val="false"/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Указатель на строку:</w:t>
      </w:r>
    </w:p>
    <w:p>
      <w:pPr>
        <w:pStyle w:val="ListParagraph"/>
        <w:spacing w:before="0" w:after="0"/>
        <w:contextualSpacing w:val="false"/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S := 'abcd';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NativeInt(@S)         = 1 703 548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NativeInt(Pointer(S)) = 37 497 836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NativeInt(@S[1])      = 37 497 836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 xml:space="preserve">PInteger(37497832)^   = 4 – </w:t>
      </w:r>
      <w:r>
        <w:rPr>
          <w:lang w:val="ru-RU"/>
        </w:rPr>
        <w:t>длина строки в символах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 xml:space="preserve">PInteger(37497828)^   = 1 – </w:t>
      </w:r>
      <w:r>
        <w:rPr>
          <w:lang w:val="ru-RU"/>
        </w:rPr>
        <w:t>количество ссылок на переменную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PChar(37497836)^      = 'a'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PByte(37497837)^      = 0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PChar(37497838)^      = 'b'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PByte(37497839)^      = 0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PChar(37497840)^      = 'c'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PByte(37497841)^      = 0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PChar(37497842)^      = 'd'</w:t>
      </w:r>
    </w:p>
    <w:p>
      <w:pPr>
        <w:pStyle w:val="Style19"/>
        <w:numPr>
          <w:ilvl w:val="0"/>
          <w:numId w:val="0"/>
        </w:numPr>
        <w:ind w:left="720" w:hanging="0"/>
        <w:rPr/>
      </w:pPr>
      <w:r>
        <w:rPr/>
        <w:t>PByte(37497843)^      = 0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ListParagraph"/>
        <w:numPr>
          <w:ilvl w:val="0"/>
          <w:numId w:val="11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numPr>
          <w:ilvl w:val="0"/>
          <w:numId w:val="11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1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numPr>
          <w:ilvl w:val="0"/>
          <w:numId w:val="11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ShowWindow(Handle,SW_HIDE); // Скры</w:t>
      </w:r>
      <w:r>
        <w:rPr>
          <w:rFonts w:eastAsia="Arial" w:cs=""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2"/>
          <w:lang w:val="ru-RU" w:eastAsia="en-US" w:bidi="ar-SA"/>
        </w:rPr>
        <w:t>ть</w:t>
      </w: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eastAsia="Arial" w:cs=""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2"/>
          <w:lang w:val="ru-RU" w:eastAsia="en-US" w:bidi="ar-SA"/>
        </w:rPr>
        <w:t>форму</w:t>
      </w: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ShowWindow(Application.Handle,SW_HI DE); // Скры</w:t>
      </w:r>
      <w:r>
        <w:rPr>
          <w:rFonts w:eastAsia="Arial" w:cs=""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2"/>
          <w:lang w:val="ru-RU" w:eastAsia="en-US" w:bidi="ar-SA"/>
        </w:rPr>
        <w:t>ть</w:t>
      </w: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кнопку TaskBar'а</w:t>
      </w:r>
    </w:p>
    <w:p>
      <w:pPr>
        <w:pStyle w:val="Normal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9"/>
        <w:numPr>
          <w:ilvl w:val="1"/>
          <w:numId w:val="11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9"/>
        <w:numPr>
          <w:ilvl w:val="1"/>
          <w:numId w:val="12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9"/>
        <w:numPr>
          <w:ilvl w:val="1"/>
          <w:numId w:val="1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9"/>
        <w:numPr>
          <w:ilvl w:val="1"/>
          <w:numId w:val="12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9"/>
        <w:numPr>
          <w:ilvl w:val="1"/>
          <w:numId w:val="1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9"/>
        <w:numPr>
          <w:ilvl w:val="1"/>
          <w:numId w:val="12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9"/>
        <w:numPr>
          <w:ilvl w:val="1"/>
          <w:numId w:val="12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9"/>
        <w:numPr>
          <w:ilvl w:val="1"/>
          <w:numId w:val="12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9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9"/>
        <w:numPr>
          <w:ilvl w:val="1"/>
          <w:numId w:val="12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9"/>
        <w:numPr>
          <w:ilvl w:val="1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9"/>
        <w:numPr>
          <w:ilvl w:val="1"/>
          <w:numId w:val="13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9"/>
        <w:numPr>
          <w:ilvl w:val="1"/>
          <w:numId w:val="13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Если дизайнтайм-пакет с компонентами устанавливается, но при следующей загрузке среды как баран выламывается с текстом «Не найден указанный модуль», это значит, что он использует в своем </w:t>
      </w:r>
      <w:r>
        <w:rPr>
          <w:rFonts w:ascii="Verdana" w:hAnsi="Verdana"/>
          <w:sz w:val="20"/>
          <w:szCs w:val="20"/>
          <w:lang w:val="en-US"/>
        </w:rPr>
        <w:t xml:space="preserve">requires другой дизайн-тайм-пакет </w:t>
      </w:r>
      <w:r>
        <w:rPr>
          <w:rFonts w:ascii="Verdana" w:hAnsi="Verdana"/>
          <w:sz w:val="20"/>
          <w:szCs w:val="20"/>
          <w:lang w:val="ru-RU"/>
        </w:rPr>
        <w:t xml:space="preserve">с установленными визуальными компонентами. И при загрузке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использующий</w:t>
      </w:r>
      <w:r>
        <w:rPr>
          <w:rFonts w:ascii="Verdana" w:hAnsi="Verdana"/>
          <w:sz w:val="20"/>
          <w:szCs w:val="20"/>
          <w:lang w:val="ru-RU"/>
        </w:rPr>
        <w:t xml:space="preserve"> пакет почему-то хочет видеть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в общем каталоге (по умолчанию это $(BDSCOMMONDIR)\Bpl) независимо от того, что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пакет установлен из другого местаи вообще-то сам по себе загружается оттуда успешно в правильной очередности. Добавлять путь в переменные среды неправильно, потому что это обяжет всех разработчиков делать это же самое. Но самое удивительное, что это еще и бесполезно, потому что использующий пакет так же продолжает выламываться. Поэтому проще на этапе отладки пакетов настроить билд-ивэнт, копирующий каждый пакет в каталог (BDSCOMMONDIR)\Bpl.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4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</w:rPr>
      </w:pPr>
      <w:r>
        <w:rPr>
          <w:b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9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9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9"/>
        <w:rPr>
          <w:iCs/>
        </w:rPr>
      </w:pPr>
      <w:r>
        <w:rPr>
          <w:iCs/>
        </w:rPr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42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TGUIDHelper.</w:t>
      </w:r>
      <w:r>
        <w:rPr>
          <w:rFonts w:ascii="Verdana" w:hAnsi="Verdana"/>
          <w:sz w:val="20"/>
          <w:szCs w:val="20"/>
          <w:lang w:val="en-US"/>
        </w:rPr>
        <w:t>NewGUID</w:t>
      </w:r>
    </w:p>
    <w:p>
      <w:pPr>
        <w:pStyle w:val="Style19"/>
        <w:numPr>
          <w:ilvl w:val="1"/>
          <w:numId w:val="14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en-US"/>
        </w:rPr>
        <w:t>SysUtils.</w:t>
      </w:r>
      <w:r>
        <w:rPr>
          <w:rFonts w:ascii="Verdana" w:hAnsi="Verdana"/>
          <w:sz w:val="20"/>
          <w:szCs w:val="20"/>
          <w:lang w:val="ru-RU"/>
        </w:rPr>
        <w:t>CreateGUID</w:t>
      </w:r>
    </w:p>
    <w:p>
      <w:pPr>
        <w:pStyle w:val="Style19"/>
        <w:numPr>
          <w:ilvl w:val="1"/>
          <w:numId w:val="14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OleCheck(CoCreateGuid(Guid));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 использовании интерфейса просрана статья :( А там как раз было упоминание антипаттерна «Проверка типа вместо интерфейса».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9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 xml:space="preserve">данных </w:t>
      </w:r>
    </w:p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0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9"/>
        <w:numPr>
          <w:ilvl w:val="0"/>
          <w:numId w:val="151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Перегенерация исключения в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raise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.</w:t>
      </w:r>
      <w:r>
        <w:rPr>
          <w:rFonts w:ascii="Verdana" w:hAnsi="Verdana"/>
          <w:sz w:val="20"/>
          <w:szCs w:val="20"/>
          <w:lang w:val="ru-RU"/>
        </w:rPr>
        <w:t xml:space="preserve"> Тут есть грабли, </w:t>
      </w:r>
      <w:r>
        <w:rPr>
          <w:rFonts w:ascii="Verdana" w:hAnsi="Verdana"/>
          <w:i/>
          <w:iCs/>
          <w:sz w:val="20"/>
          <w:szCs w:val="20"/>
          <w:lang w:val="en-US"/>
        </w:rPr>
        <w:t>raise 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это повторная генерация уже созданного объекта. Если надо сгенерировать новое исключение, есть высокая вероятность случайно написать так: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E.CreateFmt('Message');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Это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вызовет ошибку взаимодействия с памятью со стеком не из места создания объекта исключения, а при обработке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>_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HandleFinallyInternal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вызываемой компилятором неявно где-то в конце процедуры, вызвавшей метод с перегенерацией.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Либо, если перегенерированное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таким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образом исключение где-то будет еще раз отловлено с применением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on E: Exception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 объект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уже будет ссылаться на произвольную память. И стек ошибки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Invalid pointer operation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укажет хотя бы на место попытки освобождения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объекта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при выходе из внешнего блока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try except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. Немного поближе, но тоже не очень.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То есть, ошибку, допущенную при перегенерации придется искать по коду с собаками. Поэтому, дешевле будет просто запомнить, перегенерация исключения исполняется так: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ExceptClass(</w:t>
      </w:r>
      <w:r>
        <w:rPr>
          <w:lang w:val="ru-RU"/>
        </w:rPr>
        <w:t>E.ClassType).CreateFmt</w:t>
      </w:r>
      <w:r>
        <w:rPr>
          <w:lang w:val="en-US"/>
        </w:rPr>
        <w:t>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ListParagraph"/>
        <w:numPr>
          <w:ilvl w:val="0"/>
          <w:numId w:val="15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даже 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не особо встречается этот способ.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Style19"/>
        <w:numPr>
          <w:ilvl w:val="0"/>
          <w:numId w:val="153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Способ скрыть лишние элементы перечислимого типа из свойства:</w:t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b/>
          <w:bCs/>
        </w:rPr>
        <w:t>property</w:t>
      </w:r>
      <w:r>
        <w:rPr/>
        <w:t xml:space="preserve"> AllowedSelections: TDBGridEhAllowedSelections </w:t>
      </w:r>
      <w:r>
        <w:rPr>
          <w:b/>
          <w:bCs/>
        </w:rPr>
        <w:t>read</w:t>
      </w:r>
      <w:r>
        <w:rPr/>
        <w:t xml:space="preserve"> FAllowedSelections </w:t>
      </w:r>
      <w:r>
        <w:rPr>
          <w:b/>
          <w:bCs/>
        </w:rPr>
        <w:t>write</w:t>
      </w:r>
      <w:r>
        <w:rPr/>
        <w:t xml:space="preserve"> SetAllowedSelections </w:t>
      </w:r>
      <w:r>
        <w:rPr>
          <w:b/>
          <w:bCs/>
        </w:rPr>
        <w:t>default</w:t>
      </w:r>
      <w:r>
        <w:rPr/>
        <w:t xml:space="preserve"> [gstRecordBookmarks..gstAll];</w:t>
      </w:r>
    </w:p>
    <w:p>
      <w:pPr>
        <w:pStyle w:val="Style19"/>
        <w:rPr>
          <w:lang w:val="en-US"/>
        </w:rPr>
      </w:pPr>
      <w:r>
        <w:rPr>
          <w:lang w:val="en-US"/>
        </w:rPr>
        <w:tab/>
      </w:r>
    </w:p>
    <w:p>
      <w:pPr>
        <w:pStyle w:val="Style19"/>
        <w:numPr>
          <w:ilvl w:val="0"/>
          <w:numId w:val="154"/>
        </w:numPr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Уничтожение интерфейса после уничтожения исполнителя вызовет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Если мы создали объект в процедуре и там же запросили интерфейс в переменную стека, необходимо присвоить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nil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 нее до уничтожения объекта. Иначе 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произойдет при неявном вызове уничтожения интерфейса на выходе из процедуры.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Style19"/>
        <w:numPr>
          <w:ilvl w:val="0"/>
          <w:numId w:val="155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Декларативная м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атри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чная функция для набора перечислимого типа (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set of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):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TMyType = (ttA, ttB, ttC, ttD);</w:t>
      </w:r>
    </w:p>
    <w:p>
      <w:pPr>
        <w:pStyle w:val="Style19"/>
        <w:rPr/>
      </w:pPr>
      <w:r>
        <w:rPr/>
        <w:t xml:space="preserve">  </w:t>
      </w:r>
      <w:r>
        <w:rPr/>
        <w:t>TMyTypes = set of TMyType;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Matrix&lt;T&gt; =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abstract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function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</w:t>
      </w:r>
      <w:r>
        <w:rPr>
          <w:b w:val="false"/>
          <w:bCs w:val="false"/>
        </w:rPr>
        <w:t xml:space="preserve">(Value: T; </w:t>
      </w:r>
      <w:r>
        <w:rPr>
          <w:b/>
          <w:bCs/>
        </w:rPr>
        <w:t>const</w:t>
      </w:r>
      <w:r>
        <w:rPr>
          <w:b w:val="false"/>
          <w:bCs w:val="false"/>
        </w:rPr>
        <w:t xml:space="preserve"> Map: </w:t>
      </w:r>
      <w:r>
        <w:rPr>
          <w:b/>
          <w:bCs/>
        </w:rPr>
        <w:t>array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): </w:t>
      </w:r>
      <w:r>
        <w:rPr>
          <w:b/>
          <w:bCs/>
        </w:rPr>
        <w:t>String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/>
          <w:bCs/>
        </w:rPr>
        <w:t>end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const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S</w:t>
      </w:r>
      <w:r>
        <w:rPr/>
        <w:t xml:space="preserve">A_Map: </w:t>
      </w:r>
      <w:r>
        <w:rPr>
          <w:b/>
          <w:bCs/>
        </w:rPr>
        <w:t>array</w:t>
      </w:r>
      <w:r>
        <w:rPr/>
        <w:t xml:space="preserve">[0..15]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= (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</w:t>
      </w:r>
      <w:r>
        <w:rPr/>
        <w:t>{0000}  '-',</w:t>
      </w:r>
    </w:p>
    <w:p>
      <w:pPr>
        <w:pStyle w:val="Style19"/>
        <w:rPr/>
      </w:pPr>
      <w:r>
        <w:rPr/>
        <w:t xml:space="preserve">      </w:t>
      </w:r>
      <w:r>
        <w:rPr/>
        <w:t>{1000}  'A',</w:t>
      </w:r>
    </w:p>
    <w:p>
      <w:pPr>
        <w:pStyle w:val="Style19"/>
        <w:rPr/>
      </w:pPr>
      <w:r>
        <w:rPr/>
        <w:t xml:space="preserve">      </w:t>
      </w:r>
      <w:r>
        <w:rPr/>
        <w:t>{0100}  'B',</w:t>
      </w:r>
    </w:p>
    <w:p>
      <w:pPr>
        <w:pStyle w:val="Style19"/>
        <w:rPr/>
      </w:pPr>
      <w:r>
        <w:rPr/>
        <w:t xml:space="preserve">      </w:t>
      </w:r>
      <w:r>
        <w:rPr/>
        <w:t>{1100}  'AB',</w:t>
      </w:r>
    </w:p>
    <w:p>
      <w:pPr>
        <w:pStyle w:val="Style19"/>
        <w:rPr/>
      </w:pPr>
      <w:r>
        <w:rPr/>
        <w:t xml:space="preserve">      </w:t>
      </w:r>
      <w:r>
        <w:rPr/>
        <w:t>{0010}  'C',</w:t>
      </w:r>
    </w:p>
    <w:p>
      <w:pPr>
        <w:pStyle w:val="Style19"/>
        <w:rPr/>
      </w:pPr>
      <w:r>
        <w:rPr/>
        <w:t xml:space="preserve">      </w:t>
      </w:r>
      <w:r>
        <w:rPr/>
        <w:t>{1010}  'AC',</w:t>
      </w:r>
    </w:p>
    <w:p>
      <w:pPr>
        <w:pStyle w:val="Style19"/>
        <w:rPr/>
      </w:pPr>
      <w:r>
        <w:rPr/>
        <w:t xml:space="preserve">      </w:t>
      </w:r>
      <w:r>
        <w:rPr/>
        <w:t>{0110}  'BC',</w:t>
      </w:r>
    </w:p>
    <w:p>
      <w:pPr>
        <w:pStyle w:val="Style19"/>
        <w:rPr/>
      </w:pPr>
      <w:r>
        <w:rPr/>
        <w:t xml:space="preserve">      </w:t>
      </w:r>
      <w:r>
        <w:rPr/>
        <w:t>{1110}  'ABC',</w:t>
      </w:r>
    </w:p>
    <w:p>
      <w:pPr>
        <w:pStyle w:val="Style19"/>
        <w:rPr/>
      </w:pPr>
      <w:r>
        <w:rPr/>
        <w:t xml:space="preserve">      </w:t>
      </w:r>
      <w:r>
        <w:rPr/>
        <w:t>{0001}  'D',</w:t>
      </w:r>
    </w:p>
    <w:p>
      <w:pPr>
        <w:pStyle w:val="Style19"/>
        <w:rPr/>
      </w:pPr>
      <w:r>
        <w:rPr/>
        <w:t xml:space="preserve">      </w:t>
      </w:r>
      <w:r>
        <w:rPr/>
        <w:t>{1001}  'AD',</w:t>
      </w:r>
    </w:p>
    <w:p>
      <w:pPr>
        <w:pStyle w:val="Style19"/>
        <w:rPr/>
      </w:pPr>
      <w:r>
        <w:rPr/>
        <w:t xml:space="preserve">      </w:t>
      </w:r>
      <w:r>
        <w:rPr/>
        <w:t>{0101}  'BD',</w:t>
      </w:r>
    </w:p>
    <w:p>
      <w:pPr>
        <w:pStyle w:val="Style19"/>
        <w:rPr/>
      </w:pPr>
      <w:r>
        <w:rPr/>
        <w:t xml:space="preserve">      </w:t>
      </w:r>
      <w:r>
        <w:rPr/>
        <w:t>{1101}  'ABD',</w:t>
      </w:r>
    </w:p>
    <w:p>
      <w:pPr>
        <w:pStyle w:val="Style19"/>
        <w:rPr/>
      </w:pPr>
      <w:r>
        <w:rPr/>
        <w:t xml:space="preserve">      </w:t>
      </w:r>
      <w:r>
        <w:rPr/>
        <w:t>{0011}  'CD',</w:t>
      </w:r>
    </w:p>
    <w:p>
      <w:pPr>
        <w:pStyle w:val="Style19"/>
        <w:rPr/>
      </w:pPr>
      <w:r>
        <w:rPr/>
        <w:t xml:space="preserve">      </w:t>
      </w:r>
      <w:r>
        <w:rPr/>
        <w:t>{1011}  'ACD',</w:t>
      </w:r>
    </w:p>
    <w:p>
      <w:pPr>
        <w:pStyle w:val="Style19"/>
        <w:rPr/>
      </w:pPr>
      <w:r>
        <w:rPr/>
        <w:t xml:space="preserve">      </w:t>
      </w:r>
      <w:r>
        <w:rPr/>
        <w:t>{0111}  'BCD',</w:t>
      </w:r>
    </w:p>
    <w:p>
      <w:pPr>
        <w:pStyle w:val="Style19"/>
        <w:rPr/>
      </w:pPr>
      <w:r>
        <w:rPr/>
        <w:t xml:space="preserve">      </w:t>
      </w:r>
      <w:r>
        <w:rPr/>
        <w:t>{1111}  'ABCD'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function</w:t>
      </w:r>
      <w:r>
        <w:rPr/>
        <w:t xml:space="preserve"> Get(Value: TMyTypes; </w:t>
      </w:r>
      <w:r>
        <w:rPr>
          <w:b/>
          <w:bCs/>
        </w:rPr>
        <w:t>const</w:t>
      </w:r>
      <w:r>
        <w:rPr/>
        <w:t xml:space="preserve"> Map: </w:t>
      </w:r>
      <w:r>
        <w:rPr>
          <w:b/>
          <w:bCs/>
        </w:rPr>
        <w:t>array</w:t>
      </w:r>
      <w:r>
        <w:rPr/>
        <w:t xml:space="preserve">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): </w:t>
      </w:r>
      <w:r>
        <w:rPr>
          <w:b/>
          <w:bCs/>
        </w:rPr>
        <w:t>String</w:t>
      </w:r>
      <w:r>
        <w:rPr/>
        <w:t>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  <w:t xml:space="preserve">  </w:t>
      </w:r>
      <w:r>
        <w:rPr/>
        <w:t>Result := Map[Byte(Value)];</w:t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Тестовый код: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b/>
          <w:bCs/>
        </w:rPr>
        <w:t>procedure</w:t>
      </w:r>
      <w:r>
        <w:rPr/>
        <w:t xml:space="preserve"> SomeProc;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WriteOut(Matrix&lt;TMyTypes&gt;.Get([],   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WriteOut(Matrix&lt;TMyTypes&gt;.Get([ttD],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ttC, ttD], SA_Map));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Результат исполнения тестового кода: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/>
        <w:t>-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D</w:t>
      </w:r>
    </w:p>
    <w:p>
      <w:pPr>
        <w:pStyle w:val="Style19"/>
        <w:rPr/>
      </w:pPr>
      <w:r>
        <w:rPr/>
        <w:t>AB</w:t>
      </w:r>
    </w:p>
    <w:p>
      <w:pPr>
        <w:pStyle w:val="Style19"/>
        <w:rPr/>
      </w:pPr>
      <w:r>
        <w:rPr/>
        <w:t>AC</w:t>
      </w:r>
    </w:p>
    <w:p>
      <w:pPr>
        <w:pStyle w:val="Style19"/>
        <w:rPr/>
      </w:pPr>
      <w:r>
        <w:rPr/>
        <w:t>AD</w:t>
      </w:r>
    </w:p>
    <w:p>
      <w:pPr>
        <w:pStyle w:val="Style19"/>
        <w:rPr/>
      </w:pPr>
      <w:r>
        <w:rPr/>
        <w:t>BC</w:t>
      </w:r>
    </w:p>
    <w:p>
      <w:pPr>
        <w:pStyle w:val="Style19"/>
        <w:rPr/>
      </w:pPr>
      <w:r>
        <w:rPr/>
        <w:t>BD</w:t>
      </w:r>
    </w:p>
    <w:p>
      <w:pPr>
        <w:pStyle w:val="Style19"/>
        <w:rPr/>
      </w:pPr>
      <w:r>
        <w:rPr/>
        <w:t>CD</w:t>
      </w:r>
    </w:p>
    <w:p>
      <w:pPr>
        <w:pStyle w:val="Style19"/>
        <w:rPr/>
      </w:pPr>
      <w:r>
        <w:rPr/>
        <w:t>ABC</w:t>
      </w:r>
    </w:p>
    <w:p>
      <w:pPr>
        <w:pStyle w:val="Style19"/>
        <w:rPr/>
      </w:pPr>
      <w:r>
        <w:rPr/>
        <w:t>ABD</w:t>
      </w:r>
    </w:p>
    <w:p>
      <w:pPr>
        <w:pStyle w:val="Style19"/>
        <w:rPr/>
      </w:pPr>
      <w:r>
        <w:rPr/>
        <w:t>ACD</w:t>
      </w:r>
    </w:p>
    <w:p>
      <w:pPr>
        <w:pStyle w:val="Style19"/>
        <w:rPr/>
      </w:pPr>
      <w:r>
        <w:rPr/>
        <w:t>ABCD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5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9"/>
        <w:numPr>
          <w:ilvl w:val="1"/>
          <w:numId w:val="15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5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6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9"/>
        <w:numPr>
          <w:ilvl w:val="1"/>
          <w:numId w:val="16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6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9"/>
        <w:numPr>
          <w:ilvl w:val="1"/>
          <w:numId w:val="16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9"/>
        <w:numPr>
          <w:ilvl w:val="1"/>
          <w:numId w:val="16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9"/>
        <w:numPr>
          <w:ilvl w:val="1"/>
          <w:numId w:val="16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9"/>
        <w:numPr>
          <w:ilvl w:val="1"/>
          <w:numId w:val="16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9"/>
        <w:numPr>
          <w:ilvl w:val="1"/>
          <w:numId w:val="16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numPr>
          <w:ilvl w:val="0"/>
          <w:numId w:val="17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7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9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7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>
          <w:rFonts w:ascii="Verdana" w:hAnsi="Verdana" w:eastAsia="Arial" w:cs="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Arial" w:cs="" w:ascii="Verdana" w:hAnsi="Verdana"/>
          <w:b/>
          <w:color w:val="auto"/>
          <w:kern w:val="0"/>
          <w:sz w:val="24"/>
          <w:szCs w:val="24"/>
          <w:lang w:val="en-US" w:eastAsia="en-US" w:bidi="ar-SA"/>
        </w:rPr>
        <w:t>WinMerge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73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Если включилось отображение только отличающихся строк вместо всех, вернуть: Вид - Контекст отличий —</w:t>
      </w:r>
      <w:r>
        <w:rPr>
          <w:rFonts w:ascii="Verdana" w:hAnsi="Verdana"/>
          <w:sz w:val="20"/>
          <w:szCs w:val="20"/>
          <w:lang w:val="ru-RU"/>
        </w:rPr>
        <w:t xml:space="preserve"> Все строки.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  <w:font w:name="Open Sans">
    <w:altName w:val="sans-serif"/>
    <w:charset w:val="cc"/>
    <w:family w:val="roman"/>
    <w:pitch w:val="variable"/>
  </w:font>
  <w:font w:name="verdana">
    <w:altName w:val="geneva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1"/>
    <w:lvlOverride w:ilvl="0">
      <w:startOverride w:val="1"/>
    </w:lvlOverride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13"/>
    <w:lvlOverride w:ilvl="0">
      <w:startOverride w:val="1"/>
    </w:lvlOverride>
  </w:num>
  <w:num w:numId="101">
    <w:abstractNumId w:val="14"/>
    <w:lvlOverride w:ilvl="0">
      <w:startOverride w:val="1"/>
    </w:lvlOverride>
  </w:num>
  <w:num w:numId="102">
    <w:abstractNumId w:val="14"/>
  </w:num>
  <w:num w:numId="103">
    <w:abstractNumId w:val="14"/>
  </w:num>
  <w:num w:numId="104">
    <w:abstractNumId w:val="14"/>
  </w:num>
  <w:num w:numId="105">
    <w:abstractNumId w:val="14"/>
  </w:num>
  <w:num w:numId="106">
    <w:abstractNumId w:val="14"/>
  </w:num>
  <w:num w:numId="107">
    <w:abstractNumId w:val="14"/>
  </w:num>
  <w:num w:numId="108">
    <w:abstractNumId w:val="14"/>
  </w:num>
  <w:num w:numId="109">
    <w:abstractNumId w:val="14"/>
  </w:num>
  <w:num w:numId="110">
    <w:abstractNumId w:val="14"/>
  </w:num>
  <w:num w:numId="111">
    <w:abstractNumId w:val="14"/>
  </w:num>
  <w:num w:numId="112">
    <w:abstractNumId w:val="14"/>
  </w:num>
  <w:num w:numId="113">
    <w:abstractNumId w:val="14"/>
  </w:num>
  <w:num w:numId="114">
    <w:abstractNumId w:val="14"/>
  </w:num>
  <w:num w:numId="115">
    <w:abstractNumId w:val="14"/>
  </w:num>
  <w:num w:numId="116">
    <w:abstractNumId w:val="14"/>
  </w:num>
  <w:num w:numId="117">
    <w:abstractNumId w:val="14"/>
  </w:num>
  <w:num w:numId="118">
    <w:abstractNumId w:val="14"/>
  </w:num>
  <w:num w:numId="119">
    <w:abstractNumId w:val="14"/>
  </w:num>
  <w:num w:numId="120">
    <w:abstractNumId w:val="14"/>
  </w:num>
  <w:num w:numId="121">
    <w:abstractNumId w:val="14"/>
  </w:num>
  <w:num w:numId="122">
    <w:abstractNumId w:val="14"/>
  </w:num>
  <w:num w:numId="123">
    <w:abstractNumId w:val="14"/>
  </w:num>
  <w:num w:numId="124">
    <w:abstractNumId w:val="14"/>
  </w:num>
  <w:num w:numId="125">
    <w:abstractNumId w:val="14"/>
  </w:num>
  <w:num w:numId="126">
    <w:abstractNumId w:val="14"/>
  </w:num>
  <w:num w:numId="127">
    <w:abstractNumId w:val="14"/>
  </w:num>
  <w:num w:numId="128">
    <w:abstractNumId w:val="14"/>
  </w:num>
  <w:num w:numId="129">
    <w:abstractNumId w:val="14"/>
  </w:num>
  <w:num w:numId="130">
    <w:abstractNumId w:val="14"/>
  </w:num>
  <w:num w:numId="131">
    <w:abstractNumId w:val="14"/>
  </w:num>
  <w:num w:numId="132">
    <w:abstractNumId w:val="14"/>
  </w:num>
  <w:num w:numId="133">
    <w:abstractNumId w:val="14"/>
  </w:num>
  <w:num w:numId="134">
    <w:abstractNumId w:val="14"/>
  </w:num>
  <w:num w:numId="135">
    <w:abstractNumId w:val="14"/>
  </w:num>
  <w:num w:numId="136">
    <w:abstractNumId w:val="14"/>
  </w:num>
  <w:num w:numId="137">
    <w:abstractNumId w:val="14"/>
  </w:num>
  <w:num w:numId="138">
    <w:abstractNumId w:val="14"/>
  </w:num>
  <w:num w:numId="139">
    <w:abstractNumId w:val="14"/>
  </w:num>
  <w:num w:numId="140">
    <w:abstractNumId w:val="14"/>
  </w:num>
  <w:num w:numId="141">
    <w:abstractNumId w:val="14"/>
  </w:num>
  <w:num w:numId="142">
    <w:abstractNumId w:val="14"/>
  </w:num>
  <w:num w:numId="143">
    <w:abstractNumId w:val="14"/>
  </w:num>
  <w:num w:numId="144">
    <w:abstractNumId w:val="14"/>
  </w:num>
  <w:num w:numId="145">
    <w:abstractNumId w:val="14"/>
  </w:num>
  <w:num w:numId="146">
    <w:abstractNumId w:val="14"/>
  </w:num>
  <w:num w:numId="147">
    <w:abstractNumId w:val="14"/>
  </w:num>
  <w:num w:numId="148">
    <w:abstractNumId w:val="14"/>
  </w:num>
  <w:num w:numId="149">
    <w:abstractNumId w:val="14"/>
  </w:num>
  <w:num w:numId="150">
    <w:abstractNumId w:val="14"/>
  </w:num>
  <w:num w:numId="151">
    <w:abstractNumId w:val="14"/>
  </w:num>
  <w:num w:numId="152">
    <w:abstractNumId w:val="14"/>
  </w:num>
  <w:num w:numId="153">
    <w:abstractNumId w:val="14"/>
  </w:num>
  <w:num w:numId="154">
    <w:abstractNumId w:val="14"/>
  </w:num>
  <w:num w:numId="155">
    <w:abstractNumId w:val="14"/>
  </w:num>
  <w:num w:numId="156">
    <w:abstractNumId w:val="69"/>
    <w:lvlOverride w:ilvl="0">
      <w:startOverride w:val="1"/>
    </w:lvlOverride>
  </w:num>
  <w:num w:numId="157">
    <w:abstractNumId w:val="69"/>
  </w:num>
  <w:num w:numId="158">
    <w:abstractNumId w:val="69"/>
  </w:num>
  <w:num w:numId="159">
    <w:abstractNumId w:val="72"/>
    <w:lvlOverride w:ilvl="0">
      <w:startOverride w:val="1"/>
    </w:lvlOverride>
  </w:num>
  <w:num w:numId="160">
    <w:abstractNumId w:val="72"/>
  </w:num>
  <w:num w:numId="161">
    <w:abstractNumId w:val="72"/>
  </w:num>
  <w:num w:numId="162">
    <w:abstractNumId w:val="72"/>
  </w:num>
  <w:num w:numId="163">
    <w:abstractNumId w:val="72"/>
  </w:num>
  <w:num w:numId="164">
    <w:abstractNumId w:val="72"/>
  </w:num>
  <w:num w:numId="165">
    <w:abstractNumId w:val="72"/>
  </w:num>
  <w:num w:numId="166">
    <w:abstractNumId w:val="72"/>
  </w:num>
  <w:num w:numId="167">
    <w:abstractNumId w:val="72"/>
  </w:num>
  <w:num w:numId="168">
    <w:abstractNumId w:val="72"/>
  </w:num>
  <w:num w:numId="169">
    <w:abstractNumId w:val="82"/>
    <w:lvlOverride w:ilvl="0">
      <w:startOverride w:val="1"/>
    </w:lvlOverride>
  </w:num>
  <w:num w:numId="170">
    <w:abstractNumId w:val="82"/>
  </w:num>
  <w:num w:numId="171">
    <w:abstractNumId w:val="82"/>
  </w:num>
  <w:num w:numId="172">
    <w:abstractNumId w:val="82"/>
  </w:num>
  <w:num w:numId="173">
    <w:abstractNumId w:val="8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9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LibreOffice/7.2.1.2$Windows_X86_64 LibreOffice_project/87b77fad49947c1441b67c559c339af8f3517e22</Application>
  <AppVersion>15.0000</AppVersion>
  <Pages>11</Pages>
  <Words>2274</Words>
  <Characters>14708</Characters>
  <CharactersWithSpaces>17051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2024-05-12T15:22:59Z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