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8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9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0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3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34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/>
      </w:r>
    </w:p>
    <w:p>
      <w:pPr>
        <w:pStyle w:val="Style19"/>
        <w:numPr>
          <w:ilvl w:val="0"/>
          <w:numId w:val="135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л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1"/>
    <w:lvlOverride w:ilvl="0">
      <w:startOverride w:val="1"/>
    </w:lvlOverride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2"/>
    <w:lvlOverride w:ilvl="0">
      <w:startOverride w:val="1"/>
    </w:lvlOverride>
  </w:num>
  <w:num w:numId="89">
    <w:abstractNumId w:val="13"/>
    <w:lvlOverride w:ilvl="0">
      <w:startOverride w:val="1"/>
    </w:lvlOverride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13"/>
  </w:num>
  <w:num w:numId="130">
    <w:abstractNumId w:val="13"/>
  </w:num>
  <w:num w:numId="131">
    <w:abstractNumId w:val="13"/>
  </w:num>
  <w:num w:numId="132">
    <w:abstractNumId w:val="13"/>
  </w:num>
  <w:num w:numId="133">
    <w:abstractNumId w:val="13"/>
  </w:num>
  <w:num w:numId="134">
    <w:abstractNumId w:val="13"/>
  </w:num>
  <w:num w:numId="135">
    <w:abstractNumId w:val="13"/>
  </w:num>
  <w:num w:numId="136">
    <w:abstractNumId w:val="59"/>
    <w:lvlOverride w:ilvl="0">
      <w:startOverride w:val="1"/>
    </w:lvlOverride>
  </w:num>
  <w:num w:numId="137">
    <w:abstractNumId w:val="59"/>
  </w:num>
  <w:num w:numId="138">
    <w:abstractNumId w:val="59"/>
  </w:num>
  <w:num w:numId="139">
    <w:abstractNumId w:val="62"/>
    <w:lvlOverride w:ilvl="0">
      <w:startOverride w:val="1"/>
    </w:lvlOverride>
  </w:num>
  <w:num w:numId="140">
    <w:abstractNumId w:val="62"/>
  </w:num>
  <w:num w:numId="141">
    <w:abstractNumId w:val="62"/>
  </w:num>
  <w:num w:numId="142">
    <w:abstractNumId w:val="62"/>
  </w:num>
  <w:num w:numId="143">
    <w:abstractNumId w:val="62"/>
  </w:num>
  <w:num w:numId="144">
    <w:abstractNumId w:val="62"/>
  </w:num>
  <w:num w:numId="145">
    <w:abstractNumId w:val="62"/>
  </w:num>
  <w:num w:numId="146">
    <w:abstractNumId w:val="62"/>
  </w:num>
  <w:num w:numId="147">
    <w:abstractNumId w:val="62"/>
  </w:num>
  <w:num w:numId="148">
    <w:abstractNumId w:val="62"/>
  </w:num>
  <w:num w:numId="149">
    <w:abstractNumId w:val="72"/>
    <w:lvlOverride w:ilvl="0">
      <w:startOverride w:val="1"/>
    </w:lvlOverride>
  </w:num>
  <w:num w:numId="150">
    <w:abstractNumId w:val="72"/>
  </w:num>
  <w:num w:numId="151">
    <w:abstractNumId w:val="72"/>
  </w:num>
  <w:num w:numId="152">
    <w:abstractNumId w:val="7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LibreOffice/7.2.1.2$Windows_X86_64 LibreOffice_project/87b77fad49947c1441b67c559c339af8f3517e22</Application>
  <AppVersion>15.0000</AppVersion>
  <Pages>10</Pages>
  <Words>1994</Words>
  <Characters>12869</Characters>
  <CharactersWithSpaces>14906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2023-12-22T11:58:49Z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