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Check Hardware Support: Ensure that your physical host server or workstation has a CPU with support for virtualization and nested virtualization. This feature is often referred to as Intel VT-x (for Intel CPUs) or AMD-V (for AMD CPUs). You must enable these features in your BIOS/UEFI settings.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Enable Nested Virtualization in VMware: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Edit the VM settings in VMware.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Under the CPU section, check the "Hardware virtualization" option.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Save the settings and power on the VM.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Enable Hyper-V Feature in Windows 11 V: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Open "Turn Windows features on or off":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- Press `Windows Key + S` to open the search bar.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- Type "Windows features" and select "Turn Windows features on or off" from the search results.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In the "Windows Features" window, scroll down to find "Hyper-V" or "Hyper-V Platform."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Check the box next to "Hyper-V" to enable it. You may also check the boxes for "Hyper-V Management Tools" and "Hyper-V Platform" to install additional features.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Click "OK" to save your changes.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Windows will apply the changes, and you may be prompted to restart your Windows 11 VM. If asked to do so, please restart the VM.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Install Hyper-V: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After restarting your Windows 11 VM, the Hyper-V feature will be enabled.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 Create Nested VMs: With Hyper-V enabled in your Windows 11 VM, you can create and run nested VMs within this VM, just as you would in a regular Hyper-V environment.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