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pacing w:val="10"/>
          <w:sz w:val="18"/>
          <w:szCs w:val="18"/>
        </w:rPr>
        <w:t xml:space="preserve">SAÉ 5.01 – TRANSFORMATION NUMÉRIQUE DE L'ORGANISATION · SÉANCES 2 ET 3</w:t>
      </w:r>
    </w:p>
    <w:p>
      <w:pPr>
        <w:spacing w:after="40"/>
      </w:pPr>
      <w:r>
        <w:rPr>
          <w:b/>
          <w:bCs/>
          <w:color w:val="1F3864"/>
          <w:sz w:val="36"/>
          <w:szCs w:val="36"/>
        </w:rPr>
        <w:t xml:space="preserve">BV2G Transport : étude de l'organisation et plan stratégique</w:t>
      </w:r>
    </w:p>
    <w:p>
      <w:pPr>
        <w:spacing w:after="40"/>
      </w:pPr>
      <w:r>
        <w:rPr>
          <w:i/>
          <w:iCs/>
          <w:color w:val="404040"/>
          <w:sz w:val="22"/>
          <w:szCs w:val="22"/>
        </w:rPr>
        <w:t xml:space="preserve">Projet : création d'un site internet et d'un SaaS de gestion administrative</w:t>
      </w:r>
    </w:p>
    <w:p>
      <w:pPr>
        <w:pBdr>
          <w:bottom w:val="single" w:color="1F3864" w:sz="10" w:space="6"/>
        </w:pBdr>
        <w:spacing w:after="160"/>
      </w:pPr>
      <w:r>
        <w:rPr>
          <w:color w:val="595959"/>
          <w:sz w:val="17"/>
          <w:szCs w:val="17"/>
        </w:rPr>
        <w:t xml:space="preserve">BUT GEA 3 – IUT de Valence – Octobre 2026 · Groupe : Raphaël Mercy, Mathis Guettaf, Gabriel Schappler, Fernando Dos Reis, Maël Martins, Sacha Brustolin</w:t>
      </w:r>
    </w:p>
    <w:p>
      <w:pPr>
        <w:spacing w:after="80" w:before="0"/>
        <w:jc w:val="both"/>
      </w:pPr>
      <w:r>
        <w:t xml:space="preserve">BV2G Transport est une PME de transport routier de marchandises dont toute la gestion administrative repose sur deux assistantes de direction, sur papier et sur Excel. Notre projet de transformation numérique s'appuie sur deux leviers : un </w:t>
      </w:r>
      <w:r>
        <w:rPr>
          <w:b/>
          <w:bCs/>
        </w:rPr>
        <w:t xml:space="preserve">site internet</w:t>
      </w:r>
      <w:r>
        <w:t xml:space="preserve"> (l'entreprise n'en a pas) et un </w:t>
      </w:r>
      <w:r>
        <w:rPr>
          <w:b/>
          <w:bCs/>
        </w:rPr>
        <w:t xml:space="preserve">SaaS de gestion</w:t>
      </w:r>
      <w:r>
        <w:t xml:space="preserve"> qui digitalise le travail des assistantes : planning consultable par les chauffeurs, lettres de voiture numérisées, indexation gazole automatique, pré-facturation par IA, relances clients automatiques et tableau de suivi des factures. L'objectif est d'assurer à terme le travail administratif avec </w:t>
      </w:r>
      <w:r>
        <w:rPr>
          <w:b/>
          <w:bCs/>
        </w:rPr>
        <w:t xml:space="preserve">une seule assistante au lieu de deux</w:t>
      </w:r>
      <w:r>
        <w:t xml:space="preserve">.</w:t>
      </w:r>
    </w:p>
    <w:p>
      <w:pPr>
        <w:pStyle w:val="Heading1"/>
      </w:pPr>
      <w:r>
        <w:t xml:space="preserve">1. Analyse de l'organisation</w:t>
      </w:r>
    </w:p>
    <w:p>
      <w:pPr>
        <w:pStyle w:val="Heading2"/>
      </w:pPr>
      <w:r>
        <w:t xml:space="preserve">1.1. Présentation et ressources</w:t>
      </w:r>
    </w:p>
    <w:p>
      <w:pPr>
        <w:spacing w:after="80" w:before="0"/>
        <w:jc w:val="both"/>
      </w:pPr>
      <w:r>
        <w:t xml:space="preserve">SARL au capital de 30 000 €, créée en 2021 et installée à Châteauneuf-du-Rhône (Drôme), sur l'axe A7 (code NAF 49.41A, transport routier de fret interurbain). L'activité est très saisonnière : la capacité double presque en haute saison.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6"/>
      </w:tblGrid>
      <w:tr>
        <w:trPr>
          <w:cantSplit/>
        </w:trPr>
        <w:tc>
          <w:tcPr>
            <w:tcW w:type="dxa" w:w="2466"/>
            <w:tcBorders>
              <w:top w:val="single" w:color="BFC8D6" w:sz="4"/>
              <w:left w:val="single" w:color="BFC8D6" w:sz="4"/>
              <w:bottom w:val="single" w:color="BFC8D6" w:sz="4"/>
              <w:right w:val="single" w:color="BFC8D6" w:sz="4"/>
            </w:tcBorders>
            <w:shd w:fill="FFFFFF" w:color="auto" w:val="clear"/>
            <w:tcMar>
              <w:top w:type="dxa" w:w="40"/>
              <w:left w:type="dxa" w:w="80"/>
              <w:bottom w:type="dxa" w:w="40"/>
              <w:right w:type="dxa" w:w="80"/>
            </w:tcMar>
            <w:vAlign w:val="top"/>
          </w:tcPr>
          <w:p>
            <w:pPr>
              <w:spacing w:after="0" w:line="240" w:lineRule="auto"/>
              <w:jc w:val="left"/>
            </w:pPr>
            <w:r>
              <w:rPr>
                <w:b/>
                <w:bCs/>
                <w:sz w:val="17"/>
                <w:szCs w:val="17"/>
              </w:rPr>
              <w:t xml:space="preserve">Humaines</w:t>
            </w:r>
          </w:p>
          <w:p>
            <w:pPr>
              <w:pStyle w:val="ListParagraph"/>
              <w:numPr>
                <w:ilvl w:val="0"/>
                <w:numId w:val="2"/>
              </w:numPr>
              <w:spacing w:after="0" w:line="240" w:lineRule="auto"/>
              <w:jc w:val="left"/>
            </w:pPr>
            <w:r>
              <w:rPr>
                <w:sz w:val="17"/>
                <w:szCs w:val="17"/>
              </w:rPr>
              <w:t xml:space="preserve">2 co-gérants</w:t>
            </w:r>
          </w:p>
          <w:p>
            <w:pPr>
              <w:pStyle w:val="ListParagraph"/>
              <w:numPr>
                <w:ilvl w:val="0"/>
                <w:numId w:val="2"/>
              </w:numPr>
              <w:spacing w:after="0" w:line="240" w:lineRule="auto"/>
              <w:jc w:val="left"/>
            </w:pPr>
            <w:r>
              <w:rPr>
                <w:sz w:val="17"/>
                <w:szCs w:val="17"/>
              </w:rPr>
              <w:t xml:space="preserve">7 à 8 CDI, dont 2 assistantes de direction</w:t>
            </w:r>
          </w:p>
          <w:p>
            <w:pPr>
              <w:pStyle w:val="ListParagraph"/>
              <w:numPr>
                <w:ilvl w:val="0"/>
                <w:numId w:val="2"/>
              </w:numPr>
              <w:spacing w:after="0" w:line="240" w:lineRule="auto"/>
              <w:jc w:val="left"/>
            </w:pPr>
            <w:r>
              <w:rPr>
                <w:sz w:val="17"/>
                <w:szCs w:val="17"/>
              </w:rPr>
              <w:t xml:space="preserve">Jusqu'à 20 intérimaires en haute saison</w:t>
            </w:r>
          </w:p>
          <w:p>
            <w:pPr>
              <w:pStyle w:val="ListParagraph"/>
              <w:numPr>
                <w:ilvl w:val="0"/>
                <w:numId w:val="2"/>
              </w:numPr>
              <w:spacing w:after="0" w:line="240" w:lineRule="auto"/>
              <w:jc w:val="left"/>
            </w:pPr>
            <w:r>
              <w:rPr>
                <w:sz w:val="17"/>
                <w:szCs w:val="17"/>
              </w:rPr>
              <w:t xml:space="preserve">Aucune compétence informatique</w:t>
            </w:r>
          </w:p>
        </w:tc>
        <w:tc>
          <w:tcPr>
            <w:tcW w:type="dxa" w:w="2466"/>
            <w:tcBorders>
              <w:top w:val="single" w:color="BFC8D6" w:sz="4"/>
              <w:left w:val="single" w:color="BFC8D6" w:sz="4"/>
              <w:bottom w:val="single" w:color="BFC8D6" w:sz="4"/>
              <w:right w:val="single" w:color="BFC8D6" w:sz="4"/>
            </w:tcBorders>
            <w:shd w:fill="FFFFFF" w:color="auto" w:val="clear"/>
            <w:tcMar>
              <w:top w:type="dxa" w:w="40"/>
              <w:left w:type="dxa" w:w="80"/>
              <w:bottom w:type="dxa" w:w="40"/>
              <w:right w:type="dxa" w:w="80"/>
            </w:tcMar>
            <w:vAlign w:val="top"/>
          </w:tcPr>
          <w:p>
            <w:pPr>
              <w:spacing w:after="0" w:line="240" w:lineRule="auto"/>
              <w:jc w:val="left"/>
            </w:pPr>
            <w:r>
              <w:rPr>
                <w:b/>
                <w:bCs/>
                <w:sz w:val="17"/>
                <w:szCs w:val="17"/>
              </w:rPr>
              <w:t xml:space="preserve">Matérielles</w:t>
            </w:r>
          </w:p>
          <w:p>
            <w:pPr>
              <w:pStyle w:val="ListParagraph"/>
              <w:numPr>
                <w:ilvl w:val="0"/>
                <w:numId w:val="2"/>
              </w:numPr>
              <w:spacing w:after="0" w:line="240" w:lineRule="auto"/>
              <w:jc w:val="left"/>
            </w:pPr>
            <w:r>
              <w:rPr>
                <w:sz w:val="17"/>
                <w:szCs w:val="17"/>
              </w:rPr>
              <w:t xml:space="preserve">7 camions, jusqu'à 15 en location</w:t>
            </w:r>
          </w:p>
          <w:p>
            <w:pPr>
              <w:pStyle w:val="ListParagraph"/>
              <w:numPr>
                <w:ilvl w:val="0"/>
                <w:numId w:val="2"/>
              </w:numPr>
              <w:spacing w:after="0" w:line="240" w:lineRule="auto"/>
              <w:jc w:val="left"/>
            </w:pPr>
            <w:r>
              <w:rPr>
                <w:sz w:val="17"/>
                <w:szCs w:val="17"/>
              </w:rPr>
              <w:t xml:space="preserve">1 local administratif, 1 entrepôt</w:t>
            </w:r>
          </w:p>
          <w:p>
            <w:pPr>
              <w:pStyle w:val="ListParagraph"/>
              <w:numPr>
                <w:ilvl w:val="0"/>
                <w:numId w:val="2"/>
              </w:numPr>
              <w:spacing w:after="0" w:line="240" w:lineRule="auto"/>
              <w:jc w:val="left"/>
            </w:pPr>
            <w:r>
              <w:rPr>
                <w:sz w:val="17"/>
                <w:szCs w:val="17"/>
              </w:rPr>
              <w:t xml:space="preserve">Supports papier : plannings, lettres de voiture, relevés</w:t>
            </w:r>
          </w:p>
        </w:tc>
        <w:tc>
          <w:tcPr>
            <w:tcW w:type="dxa" w:w="2466"/>
            <w:tcBorders>
              <w:top w:val="single" w:color="BFC8D6" w:sz="4"/>
              <w:left w:val="single" w:color="BFC8D6" w:sz="4"/>
              <w:bottom w:val="single" w:color="BFC8D6" w:sz="4"/>
              <w:right w:val="single" w:color="BFC8D6" w:sz="4"/>
            </w:tcBorders>
            <w:shd w:fill="FFFFFF" w:color="auto" w:val="clear"/>
            <w:tcMar>
              <w:top w:type="dxa" w:w="40"/>
              <w:left w:type="dxa" w:w="80"/>
              <w:bottom w:type="dxa" w:w="40"/>
              <w:right w:type="dxa" w:w="80"/>
            </w:tcMar>
            <w:vAlign w:val="top"/>
          </w:tcPr>
          <w:p>
            <w:pPr>
              <w:spacing w:after="0" w:line="240" w:lineRule="auto"/>
              <w:jc w:val="left"/>
            </w:pPr>
            <w:r>
              <w:rPr>
                <w:b/>
                <w:bCs/>
                <w:sz w:val="17"/>
                <w:szCs w:val="17"/>
              </w:rPr>
              <w:t xml:space="preserve">Immatérielles</w:t>
            </w:r>
          </w:p>
          <w:p>
            <w:pPr>
              <w:pStyle w:val="ListParagraph"/>
              <w:numPr>
                <w:ilvl w:val="0"/>
                <w:numId w:val="2"/>
              </w:numPr>
              <w:spacing w:after="0" w:line="240" w:lineRule="auto"/>
              <w:jc w:val="left"/>
            </w:pPr>
            <w:r>
              <w:rPr>
                <w:sz w:val="17"/>
                <w:szCs w:val="17"/>
              </w:rPr>
              <w:t xml:space="preserve">40 à 50 clients</w:t>
            </w:r>
          </w:p>
          <w:p>
            <w:pPr>
              <w:pStyle w:val="ListParagraph"/>
              <w:numPr>
                <w:ilvl w:val="0"/>
                <w:numId w:val="2"/>
              </w:numPr>
              <w:spacing w:after="0" w:line="240" w:lineRule="auto"/>
              <w:jc w:val="left"/>
            </w:pPr>
            <w:r>
              <w:rPr>
                <w:sz w:val="17"/>
                <w:szCs w:val="17"/>
              </w:rPr>
              <w:t xml:space="preserve">Logiciels DH DOC et Excel</w:t>
            </w:r>
          </w:p>
          <w:p>
            <w:pPr>
              <w:pStyle w:val="ListParagraph"/>
              <w:numPr>
                <w:ilvl w:val="0"/>
                <w:numId w:val="2"/>
              </w:numPr>
              <w:spacing w:after="0" w:line="240" w:lineRule="auto"/>
              <w:jc w:val="left"/>
            </w:pPr>
            <w:r>
              <w:rPr>
                <w:sz w:val="17"/>
                <w:szCs w:val="17"/>
              </w:rPr>
              <w:t xml:space="preserve">Messagerie peu sécurisée</w:t>
            </w:r>
          </w:p>
          <w:p>
            <w:pPr>
              <w:pStyle w:val="ListParagraph"/>
              <w:numPr>
                <w:ilvl w:val="0"/>
                <w:numId w:val="2"/>
              </w:numPr>
              <w:spacing w:after="0" w:line="240" w:lineRule="auto"/>
              <w:jc w:val="left"/>
            </w:pPr>
            <w:r>
              <w:rPr>
                <w:sz w:val="17"/>
                <w:szCs w:val="17"/>
              </w:rPr>
              <w:t xml:space="preserve">Aucun site internet</w:t>
            </w:r>
          </w:p>
        </w:tc>
        <w:tc>
          <w:tcPr>
            <w:tcW w:type="dxa" w:w="2466"/>
            <w:tcBorders>
              <w:top w:val="single" w:color="BFC8D6" w:sz="4"/>
              <w:left w:val="single" w:color="BFC8D6" w:sz="4"/>
              <w:bottom w:val="single" w:color="BFC8D6" w:sz="4"/>
              <w:right w:val="single" w:color="BFC8D6" w:sz="4"/>
            </w:tcBorders>
            <w:shd w:fill="FFFFFF" w:color="auto" w:val="clear"/>
            <w:tcMar>
              <w:top w:type="dxa" w:w="40"/>
              <w:left w:type="dxa" w:w="80"/>
              <w:bottom w:type="dxa" w:w="40"/>
              <w:right w:type="dxa" w:w="80"/>
            </w:tcMar>
            <w:vAlign w:val="top"/>
          </w:tcPr>
          <w:p>
            <w:pPr>
              <w:spacing w:after="0" w:line="240" w:lineRule="auto"/>
              <w:jc w:val="left"/>
            </w:pPr>
            <w:r>
              <w:rPr>
                <w:b/>
                <w:bCs/>
                <w:sz w:val="17"/>
                <w:szCs w:val="17"/>
              </w:rPr>
              <w:t xml:space="preserve">Financières</w:t>
            </w:r>
          </w:p>
          <w:p>
            <w:pPr>
              <w:pStyle w:val="ListParagraph"/>
              <w:numPr>
                <w:ilvl w:val="0"/>
                <w:numId w:val="2"/>
              </w:numPr>
              <w:spacing w:after="0" w:line="240" w:lineRule="auto"/>
              <w:jc w:val="left"/>
            </w:pPr>
            <w:r>
              <w:rPr>
                <w:sz w:val="17"/>
                <w:szCs w:val="17"/>
              </w:rPr>
              <w:t xml:space="preserve">Capital de 30 000 €</w:t>
            </w:r>
          </w:p>
          <w:p>
            <w:pPr>
              <w:pStyle w:val="ListParagraph"/>
              <w:numPr>
                <w:ilvl w:val="0"/>
                <w:numId w:val="2"/>
              </w:numPr>
              <w:spacing w:after="0" w:line="240" w:lineRule="auto"/>
              <w:jc w:val="left"/>
            </w:pPr>
            <w:r>
              <w:rPr>
                <w:sz w:val="17"/>
                <w:szCs w:val="17"/>
              </w:rPr>
              <w:t xml:space="preserve">Résultat net : 77,8 k€ puis 9,1 k€ (– 88 %, Pappers)</w:t>
            </w:r>
          </w:p>
          <w:p>
            <w:pPr>
              <w:pStyle w:val="ListParagraph"/>
              <w:numPr>
                <w:ilvl w:val="0"/>
                <w:numId w:val="2"/>
              </w:numPr>
              <w:spacing w:after="0" w:line="240" w:lineRule="auto"/>
              <w:jc w:val="left"/>
            </w:pPr>
            <w:r>
              <w:rPr>
                <w:sz w:val="17"/>
                <w:szCs w:val="17"/>
              </w:rPr>
              <w:t xml:space="preserve">Capacité d'investissement limitée</w:t>
            </w:r>
          </w:p>
        </w:tc>
      </w:tr>
    </w:tbl>
    <w:p>
      <w:pPr>
        <w:pStyle w:val="Heading2"/>
      </w:pPr>
      <w:r>
        <w:t xml:space="preserve">1.2. Environnement (PESTEL)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466"/>
        <w:gridCol w:w="2900"/>
      </w:tblGrid>
      <w:tr>
        <w:trPr>
          <w:cantSplit/>
          <w:tblHeader/>
        </w:trPr>
        <w:tc>
          <w:tcPr>
            <w:tcW w:type="dxa" w:w="15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Facteur</w:t>
            </w:r>
          </w:p>
        </w:tc>
        <w:tc>
          <w:tcPr>
            <w:tcW w:type="dxa" w:w="5466"/>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Élément clé</w:t>
            </w:r>
          </w:p>
        </w:tc>
        <w:tc>
          <w:tcPr>
            <w:tcW w:type="dxa" w:w="29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Impact sur le projet</w:t>
            </w:r>
          </w:p>
        </w:tc>
      </w:tr>
      <w:tr>
        <w:trPr>
          <w:cantSplit/>
        </w:trPr>
        <w:tc>
          <w:tcPr>
            <w:tcW w:type="dxa" w:w="15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Politique</w:t>
            </w:r>
          </w:p>
        </w:tc>
        <w:tc>
          <w:tcPr>
            <w:tcW w:type="dxa" w:w="54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Aides à la numérisation des TPE (France Num, CCI) ; ADEME</w:t>
            </w:r>
          </w:p>
        </w:tc>
        <w:tc>
          <w:tcPr>
            <w:tcW w:type="dxa" w:w="29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Financements mobilisables</w:t>
            </w:r>
          </w:p>
        </w:tc>
      </w:tr>
      <w:tr>
        <w:trPr>
          <w:cantSplit/>
        </w:trPr>
        <w:tc>
          <w:tcPr>
            <w:tcW w:type="dxa" w:w="15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Économique</w:t>
            </w:r>
          </w:p>
        </w:tc>
        <w:tc>
          <w:tcPr>
            <w:tcW w:type="dxa" w:w="54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Prix du gazole volatil, marges sous pression, résultat en baisse</w:t>
            </w:r>
          </w:p>
        </w:tc>
        <w:tc>
          <w:tcPr>
            <w:tcW w:type="dxa" w:w="29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Réduire les coûts, encaisser plus vite</w:t>
            </w:r>
          </w:p>
        </w:tc>
      </w:tr>
      <w:tr>
        <w:trPr>
          <w:cantSplit/>
        </w:trPr>
        <w:tc>
          <w:tcPr>
            <w:tcW w:type="dxa" w:w="15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Social</w:t>
            </w:r>
          </w:p>
        </w:tc>
        <w:tc>
          <w:tcPr>
            <w:tcW w:type="dxa" w:w="54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Pénurie de conducteurs, intérim, aisance numérique inégale</w:t>
            </w:r>
          </w:p>
        </w:tc>
        <w:tc>
          <w:tcPr>
            <w:tcW w:type="dxa" w:w="29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Outil mobile et très simple</w:t>
            </w:r>
          </w:p>
        </w:tc>
      </w:tr>
      <w:tr>
        <w:trPr>
          <w:cantSplit/>
        </w:trPr>
        <w:tc>
          <w:tcPr>
            <w:tcW w:type="dxa" w:w="15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Technologique</w:t>
            </w:r>
          </w:p>
        </w:tc>
        <w:tc>
          <w:tcPr>
            <w:tcW w:type="dxa" w:w="54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SaaS de gestion du transport, lettre de voiture électronique (e-CMR), IA</w:t>
            </w:r>
          </w:p>
        </w:tc>
        <w:tc>
          <w:tcPr>
            <w:tcW w:type="dxa" w:w="29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Pas de serveur, paiement à l'abonnement</w:t>
            </w:r>
          </w:p>
        </w:tc>
      </w:tr>
      <w:tr>
        <w:trPr>
          <w:cantSplit/>
        </w:trPr>
        <w:tc>
          <w:tcPr>
            <w:tcW w:type="dxa" w:w="15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Écologique</w:t>
            </w:r>
          </w:p>
        </w:tc>
        <w:tc>
          <w:tcPr>
            <w:tcW w:type="dxa" w:w="54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Transport : 1er secteur émetteur de GES ; information CO2 obligatoire pour chaque prestation</w:t>
            </w:r>
          </w:p>
        </w:tc>
        <w:tc>
          <w:tcPr>
            <w:tcW w:type="dxa" w:w="29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Zéro papier, moins de trajets</w:t>
            </w:r>
          </w:p>
        </w:tc>
      </w:tr>
      <w:tr>
        <w:trPr>
          <w:cantSplit/>
        </w:trPr>
        <w:tc>
          <w:tcPr>
            <w:tcW w:type="dxa" w:w="15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Légal</w:t>
            </w:r>
          </w:p>
        </w:tc>
        <w:tc>
          <w:tcPr>
            <w:tcW w:type="dxa" w:w="54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Facture électronique : réception depuis le 1er sept. 2026, émission au 1er sept. 2027 ; indexation gazole obligatoire (Code des transports) ; RGPD</w:t>
            </w:r>
          </w:p>
        </w:tc>
        <w:tc>
          <w:tcPr>
            <w:tcW w:type="dxa" w:w="29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Échéance ferme : septembre 2027</w:t>
            </w:r>
          </w:p>
        </w:tc>
      </w:tr>
    </w:tbl>
    <w:p>
      <w:pPr>
        <w:pStyle w:val="Heading2"/>
      </w:pPr>
      <w:r>
        <w:t xml:space="preserve">1.3. Limites et besoins en transformation numérique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700"/>
        <w:gridCol w:w="2400"/>
        <w:gridCol w:w="3766"/>
      </w:tblGrid>
      <w:tr>
        <w:trPr>
          <w:cantSplit/>
          <w:tblHeader/>
        </w:trPr>
        <w:tc>
          <w:tcPr>
            <w:tcW w:type="dxa" w:w="37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Limite actuelle</w:t>
            </w:r>
          </w:p>
        </w:tc>
        <w:tc>
          <w:tcPr>
            <w:tcW w:type="dxa" w:w="24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Besoin</w:t>
            </w:r>
          </w:p>
        </w:tc>
        <w:tc>
          <w:tcPr>
            <w:tcW w:type="dxa" w:w="3766"/>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Réponse numérique</w:t>
            </w:r>
          </w:p>
        </w:tc>
      </w:tr>
      <w:tr>
        <w:trPr>
          <w:cantSplit/>
        </w:trPr>
        <w:tc>
          <w:tcPr>
            <w:tcW w:type="dxa" w:w="37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Tout passe par 2 assistantes surchargées</w:t>
            </w:r>
          </w:p>
        </w:tc>
        <w:tc>
          <w:tcPr>
            <w:tcW w:type="dxa" w:w="24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Désengorger</w:t>
            </w:r>
          </w:p>
        </w:tc>
        <w:tc>
          <w:tcPr>
            <w:tcW w:type="dxa" w:w="37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SaaS qui automatise saisies, calculs et relances</w:t>
            </w:r>
          </w:p>
        </w:tc>
      </w:tr>
      <w:tr>
        <w:trPr>
          <w:cantSplit/>
        </w:trPr>
        <w:tc>
          <w:tcPr>
            <w:tcW w:type="dxa" w:w="37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Planning papier transmis à la main</w:t>
            </w:r>
          </w:p>
        </w:tc>
        <w:tc>
          <w:tcPr>
            <w:tcW w:type="dxa" w:w="24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Rendre les chauffeurs autonomes</w:t>
            </w:r>
          </w:p>
        </w:tc>
        <w:tc>
          <w:tcPr>
            <w:tcW w:type="dxa" w:w="37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Planning consultable sur smartphone</w:t>
            </w:r>
          </w:p>
        </w:tc>
      </w:tr>
      <w:tr>
        <w:trPr>
          <w:cantSplit/>
        </w:trPr>
        <w:tc>
          <w:tcPr>
            <w:tcW w:type="dxa" w:w="37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Lettres de voiture déposées dans une boîte aux lettres</w:t>
            </w:r>
          </w:p>
        </w:tc>
        <w:tc>
          <w:tcPr>
            <w:tcW w:type="dxa" w:w="24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Dématérialiser</w:t>
            </w:r>
          </w:p>
        </w:tc>
        <w:tc>
          <w:tcPr>
            <w:tcW w:type="dxa" w:w="37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Photo ou e-CMR envoyée en temps réel</w:t>
            </w:r>
          </w:p>
        </w:tc>
      </w:tr>
      <w:tr>
        <w:trPr>
          <w:cantSplit/>
        </w:trPr>
        <w:tc>
          <w:tcPr>
            <w:tcW w:type="dxa" w:w="37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Indexation gazole calculée à la main</w:t>
            </w:r>
          </w:p>
        </w:tc>
        <w:tc>
          <w:tcPr>
            <w:tcW w:type="dxa" w:w="24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Fiabiliser la facture</w:t>
            </w:r>
          </w:p>
        </w:tc>
        <w:tc>
          <w:tcPr>
            <w:tcW w:type="dxa" w:w="37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Calcul automatique (indice gazole du CNR)</w:t>
            </w:r>
          </w:p>
        </w:tc>
      </w:tr>
      <w:tr>
        <w:trPr>
          <w:cantSplit/>
        </w:trPr>
        <w:tc>
          <w:tcPr>
            <w:tcW w:type="dxa" w:w="37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Facturation tardive, relances irrégulières</w:t>
            </w:r>
          </w:p>
        </w:tc>
        <w:tc>
          <w:tcPr>
            <w:tcW w:type="dxa" w:w="24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Encaisser plus vite</w:t>
            </w:r>
          </w:p>
        </w:tc>
        <w:tc>
          <w:tcPr>
            <w:tcW w:type="dxa" w:w="37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Pré-facturation IA, relances auto, tableau de suivi</w:t>
            </w:r>
          </w:p>
        </w:tc>
      </w:tr>
      <w:tr>
        <w:trPr>
          <w:cantSplit/>
        </w:trPr>
        <w:tc>
          <w:tcPr>
            <w:tcW w:type="dxa" w:w="37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Messagerie piratée (faux devis), aucune sauvegarde</w:t>
            </w:r>
          </w:p>
        </w:tc>
        <w:tc>
          <w:tcPr>
            <w:tcW w:type="dxa" w:w="24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Sécuriser</w:t>
            </w:r>
          </w:p>
        </w:tc>
        <w:tc>
          <w:tcPr>
            <w:tcW w:type="dxa" w:w="37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Messagerie pro avec double authentification, sauvegarde 3-2-1</w:t>
            </w:r>
          </w:p>
        </w:tc>
      </w:tr>
      <w:tr>
        <w:trPr>
          <w:cantSplit/>
        </w:trPr>
        <w:tc>
          <w:tcPr>
            <w:tcW w:type="dxa" w:w="37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Aucun site internet</w:t>
            </w:r>
          </w:p>
        </w:tc>
        <w:tc>
          <w:tcPr>
            <w:tcW w:type="dxa" w:w="24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Être visible</w:t>
            </w:r>
          </w:p>
        </w:tc>
        <w:tc>
          <w:tcPr>
            <w:tcW w:type="dxa" w:w="37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Site vitrine avec demande de devis</w:t>
            </w:r>
          </w:p>
        </w:tc>
      </w:tr>
    </w:tbl>
    <w:p>
      <w:pPr>
        <w:pStyle w:val="Heading1"/>
      </w:pPr>
      <w:r>
        <w:t xml:space="preserve">2. Processus de l'entreprise : première ébauche</w:t>
      </w:r>
    </w:p>
    <w:p>
      <w:pPr>
        <w:keepNext/>
        <w:spacing w:after="80" w:before="0"/>
        <w:jc w:val="both"/>
      </w:pPr>
      <w:r>
        <w:t xml:space="preserve">Nous avons modélisé le processus central, de la demande du client au paiement de la facture.</w:t>
      </w:r>
    </w:p>
    <w:p>
      <w:pPr>
        <w:keepNext/>
        <w:spacing w:after="60"/>
        <w:jc w:val="center"/>
      </w:pPr>
      <w:r>
        <w:drawing>
          <wp:inline distT="0" distB="0" distL="0" distR="0">
            <wp:extent cx="6238875" cy="1647825"/>
            <wp:effectExtent t="0" r="0" b="0" l="0"/>
            <wp:docPr id="1" name="process" descr="Processus avant et après le projet" title="Proces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38875" cy="1647825"/>
                    </a:xfrm>
                    <a:prstGeom prst="rect">
                      <a:avLst/>
                    </a:prstGeom>
                  </pic:spPr>
                </pic:pic>
              </a:graphicData>
            </a:graphic>
          </wp:inline>
        </w:drawing>
      </w:r>
    </w:p>
    <w:p>
      <w:pPr>
        <w:spacing w:after="80" w:before="0"/>
        <w:jc w:val="both"/>
      </w:pPr>
      <w:r>
        <w:t xml:space="preserve">Aujourd'hui, </w:t>
      </w:r>
      <w:r>
        <w:rPr>
          <w:b/>
          <w:bCs/>
        </w:rPr>
        <w:t xml:space="preserve">9 étapes sur 13</w:t>
      </w:r>
      <w:r>
        <w:t xml:space="preserve"> mobilisent les assistantes, l'information change trois fois de support (oral, papier, Excel) et la facture attend le retour physique des lettres de voiture. Avec le SaaS, l'assistante n'intervient plus que pour </w:t>
      </w:r>
      <w:r>
        <w:rPr>
          <w:b/>
          <w:bCs/>
        </w:rPr>
        <w:t xml:space="preserve">valider le planning et contrôler les factures</w:t>
      </w:r>
      <w:r>
        <w:t xml:space="preserve">.</w:t>
      </w:r>
    </w:p>
    <w:p>
      <w:pPr>
        <w:pStyle w:val="Heading1"/>
      </w:pPr>
      <w:r>
        <w:t xml:space="preserve">3. État des lieux de l'équipement informatique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7466"/>
      </w:tblGrid>
      <w:tr>
        <w:trPr>
          <w:cantSplit/>
          <w:tblHeader/>
        </w:trPr>
        <w:tc>
          <w:tcPr>
            <w:tcW w:type="dxa" w:w="24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Élément</w:t>
            </w:r>
          </w:p>
        </w:tc>
        <w:tc>
          <w:tcPr>
            <w:tcW w:type="dxa" w:w="7466"/>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Constat</w:t>
            </w:r>
          </w:p>
        </w:tc>
      </w:tr>
      <w:tr>
        <w:trPr>
          <w:cantSplit/>
        </w:trPr>
        <w:tc>
          <w:tcPr>
            <w:tcW w:type="dxa" w:w="24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1. Utilisateurs</w:t>
            </w:r>
          </w:p>
        </w:tc>
        <w:tc>
          <w:tcPr>
            <w:tcW w:type="dxa" w:w="74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4 utilisateurs réguliers (2 gérants, 2 assistantes). Après le projet : une dizaine, jusqu'à 30 en haute saison avec les intérimaires.</w:t>
            </w:r>
          </w:p>
        </w:tc>
      </w:tr>
      <w:tr>
        <w:trPr>
          <w:cantSplit/>
        </w:trPr>
        <w:tc>
          <w:tcPr>
            <w:tcW w:type="dxa" w:w="24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2. Parc et réseau</w:t>
            </w:r>
          </w:p>
        </w:tc>
        <w:tc>
          <w:tcPr>
            <w:tcW w:type="dxa" w:w="74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2 PC de bureau, 1 portable, 1 imprimante multifonction, box internet avec Wi-Fi ; aucun serveur ; chronotachygraphes dans les camions ; smartphones personnels des chauffeurs.</w:t>
            </w:r>
          </w:p>
        </w:tc>
      </w:tr>
      <w:tr>
        <w:trPr>
          <w:cantSplit/>
        </w:trPr>
        <w:tc>
          <w:tcPr>
            <w:tcW w:type="dxa" w:w="24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3. Logiciels et cloud</w:t>
            </w:r>
          </w:p>
        </w:tc>
        <w:tc>
          <w:tcPr>
            <w:tcW w:type="dxa" w:w="74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DH DOC et Excel, non reliés entre eux ; messagerie en ligne ; aucune solution cloud.</w:t>
            </w:r>
          </w:p>
        </w:tc>
      </w:tr>
      <w:tr>
        <w:trPr>
          <w:cantSplit/>
        </w:trPr>
        <w:tc>
          <w:tcPr>
            <w:tcW w:type="dxa" w:w="24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4. Sauvegarde et sécurité</w:t>
            </w:r>
          </w:p>
        </w:tc>
        <w:tc>
          <w:tcPr>
            <w:tcW w:type="dxa" w:w="74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Aucune sauvegarde ; messagerie piratée (faux devis envoyés aux clients) ; pas de double authentification.</w:t>
            </w:r>
          </w:p>
        </w:tc>
      </w:tr>
      <w:tr>
        <w:trPr>
          <w:cantSplit/>
        </w:trPr>
        <w:tc>
          <w:tcPr>
            <w:tcW w:type="dxa" w:w="24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5. RH informatique</w:t>
            </w:r>
          </w:p>
        </w:tc>
        <w:tc>
          <w:tcPr>
            <w:tcW w:type="dxa" w:w="74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Aucune ressource interne ni contrat de maintenance.</w:t>
            </w:r>
          </w:p>
        </w:tc>
      </w:tr>
    </w:tbl>
    <w:p>
      <w:pPr>
        <w:spacing w:after="60"/>
      </w:pPr>
    </w:p>
    <w:p>
      <w:pPr>
        <w:keepNext/>
        <w:spacing w:after="60" w:before="0"/>
        <w:jc w:val="both"/>
      </w:pPr>
      <w:r>
        <w:rPr>
          <w:b/>
          <w:bCs/>
          <w:color w:val="1F3864"/>
        </w:rPr>
        <w:t xml:space="preserve">6. Analyse SWOT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BFC8D6" w:sz="4"/>
              <w:left w:val="single" w:color="BFC8D6" w:sz="4"/>
              <w:bottom w:val="single" w:color="BFC8D6" w:sz="4"/>
              <w:right w:val="single" w:color="BFC8D6" w:sz="4"/>
            </w:tcBorders>
            <w:shd w:fill="E2F0D9" w:color="auto" w:val="clear"/>
            <w:tcMar>
              <w:top w:type="dxa" w:w="40"/>
              <w:left w:type="dxa" w:w="80"/>
              <w:bottom w:type="dxa" w:w="40"/>
              <w:right w:type="dxa" w:w="80"/>
            </w:tcMar>
            <w:vAlign w:val="top"/>
          </w:tcPr>
          <w:p>
            <w:pPr>
              <w:spacing w:after="0" w:line="240" w:lineRule="auto"/>
              <w:jc w:val="left"/>
            </w:pPr>
            <w:r>
              <w:rPr>
                <w:b/>
                <w:bCs/>
                <w:sz w:val="17"/>
                <w:szCs w:val="17"/>
              </w:rPr>
              <w:t xml:space="preserve">FORCES</w:t>
            </w:r>
          </w:p>
          <w:p>
            <w:pPr>
              <w:pStyle w:val="ListParagraph"/>
              <w:numPr>
                <w:ilvl w:val="0"/>
                <w:numId w:val="2"/>
              </w:numPr>
              <w:spacing w:after="0" w:line="240" w:lineRule="auto"/>
              <w:jc w:val="left"/>
            </w:pPr>
            <w:r>
              <w:rPr>
                <w:sz w:val="17"/>
                <w:szCs w:val="17"/>
              </w:rPr>
              <w:t xml:space="preserve">Structure réactive (2 co-gérants)</w:t>
            </w:r>
          </w:p>
          <w:p>
            <w:pPr>
              <w:pStyle w:val="ListParagraph"/>
              <w:numPr>
                <w:ilvl w:val="0"/>
                <w:numId w:val="2"/>
              </w:numPr>
              <w:spacing w:after="0" w:line="240" w:lineRule="auto"/>
              <w:jc w:val="left"/>
            </w:pPr>
            <w:r>
              <w:rPr>
                <w:sz w:val="17"/>
                <w:szCs w:val="17"/>
              </w:rPr>
              <w:t xml:space="preserve">Flotte propre + flexibilité (location, intérim)</w:t>
            </w:r>
          </w:p>
          <w:p>
            <w:pPr>
              <w:pStyle w:val="ListParagraph"/>
              <w:numPr>
                <w:ilvl w:val="0"/>
                <w:numId w:val="2"/>
              </w:numPr>
              <w:spacing w:after="0" w:line="240" w:lineRule="auto"/>
              <w:jc w:val="left"/>
            </w:pPr>
            <w:r>
              <w:rPr>
                <w:sz w:val="17"/>
                <w:szCs w:val="17"/>
              </w:rPr>
              <w:t xml:space="preserve">40 à 50 clients, implantation sur l'A7</w:t>
            </w:r>
          </w:p>
        </w:tc>
        <w:tc>
          <w:tcPr>
            <w:tcW w:type="dxa" w:w="4933"/>
            <w:tcBorders>
              <w:top w:val="single" w:color="BFC8D6" w:sz="4"/>
              <w:left w:val="single" w:color="BFC8D6" w:sz="4"/>
              <w:bottom w:val="single" w:color="BFC8D6" w:sz="4"/>
              <w:right w:val="single" w:color="BFC8D6" w:sz="4"/>
            </w:tcBorders>
            <w:shd w:fill="FBE5D6" w:color="auto" w:val="clear"/>
            <w:tcMar>
              <w:top w:type="dxa" w:w="40"/>
              <w:left w:type="dxa" w:w="80"/>
              <w:bottom w:type="dxa" w:w="40"/>
              <w:right w:type="dxa" w:w="80"/>
            </w:tcMar>
            <w:vAlign w:val="top"/>
          </w:tcPr>
          <w:p>
            <w:pPr>
              <w:spacing w:after="0" w:line="240" w:lineRule="auto"/>
              <w:jc w:val="left"/>
            </w:pPr>
            <w:r>
              <w:rPr>
                <w:b/>
                <w:bCs/>
                <w:sz w:val="17"/>
                <w:szCs w:val="17"/>
              </w:rPr>
              <w:t xml:space="preserve">FAIBLESSES</w:t>
            </w:r>
          </w:p>
          <w:p>
            <w:pPr>
              <w:pStyle w:val="ListParagraph"/>
              <w:numPr>
                <w:ilvl w:val="0"/>
                <w:numId w:val="2"/>
              </w:numPr>
              <w:spacing w:after="0" w:line="240" w:lineRule="auto"/>
              <w:jc w:val="left"/>
            </w:pPr>
            <w:r>
              <w:rPr>
                <w:sz w:val="17"/>
                <w:szCs w:val="17"/>
              </w:rPr>
              <w:t xml:space="preserve">2 assistantes surchargées, processus papier</w:t>
            </w:r>
          </w:p>
          <w:p>
            <w:pPr>
              <w:pStyle w:val="ListParagraph"/>
              <w:numPr>
                <w:ilvl w:val="0"/>
                <w:numId w:val="2"/>
              </w:numPr>
              <w:spacing w:after="0" w:line="240" w:lineRule="auto"/>
              <w:jc w:val="left"/>
            </w:pPr>
            <w:r>
              <w:rPr>
                <w:sz w:val="17"/>
                <w:szCs w:val="17"/>
              </w:rPr>
              <w:t xml:space="preserve">Outils cloisonnés (DH DOC, Excel)</w:t>
            </w:r>
          </w:p>
          <w:p>
            <w:pPr>
              <w:pStyle w:val="ListParagraph"/>
              <w:numPr>
                <w:ilvl w:val="0"/>
                <w:numId w:val="2"/>
              </w:numPr>
              <w:spacing w:after="0" w:line="240" w:lineRule="auto"/>
              <w:jc w:val="left"/>
            </w:pPr>
            <w:r>
              <w:rPr>
                <w:sz w:val="17"/>
                <w:szCs w:val="17"/>
              </w:rPr>
              <w:t xml:space="preserve">Aucune sauvegarde, aucun site internet</w:t>
            </w:r>
          </w:p>
        </w:tc>
      </w:tr>
      <w:tr>
        <w:trPr>
          <w:cantSplit/>
        </w:trPr>
        <w:tc>
          <w:tcPr>
            <w:tcW w:type="dxa" w:w="4933"/>
            <w:tcBorders>
              <w:top w:val="single" w:color="BFC8D6" w:sz="4"/>
              <w:left w:val="single" w:color="BFC8D6" w:sz="4"/>
              <w:bottom w:val="single" w:color="BFC8D6" w:sz="4"/>
              <w:right w:val="single" w:color="BFC8D6" w:sz="4"/>
            </w:tcBorders>
            <w:shd w:fill="DEEBF7" w:color="auto" w:val="clear"/>
            <w:tcMar>
              <w:top w:type="dxa" w:w="40"/>
              <w:left w:type="dxa" w:w="80"/>
              <w:bottom w:type="dxa" w:w="40"/>
              <w:right w:type="dxa" w:w="80"/>
            </w:tcMar>
            <w:vAlign w:val="top"/>
          </w:tcPr>
          <w:p>
            <w:pPr>
              <w:spacing w:after="0" w:line="240" w:lineRule="auto"/>
              <w:jc w:val="left"/>
            </w:pPr>
            <w:r>
              <w:rPr>
                <w:b/>
                <w:bCs/>
                <w:sz w:val="17"/>
                <w:szCs w:val="17"/>
              </w:rPr>
              <w:t xml:space="preserve">OPPORTUNITÉS</w:t>
            </w:r>
          </w:p>
          <w:p>
            <w:pPr>
              <w:pStyle w:val="ListParagraph"/>
              <w:numPr>
                <w:ilvl w:val="0"/>
                <w:numId w:val="2"/>
              </w:numPr>
              <w:spacing w:after="0" w:line="240" w:lineRule="auto"/>
              <w:jc w:val="left"/>
            </w:pPr>
            <w:r>
              <w:rPr>
                <w:sz w:val="17"/>
                <w:szCs w:val="17"/>
              </w:rPr>
              <w:t xml:space="preserve">SaaS par abonnement, IA de pré-facturation</w:t>
            </w:r>
          </w:p>
          <w:p>
            <w:pPr>
              <w:pStyle w:val="ListParagraph"/>
              <w:numPr>
                <w:ilvl w:val="0"/>
                <w:numId w:val="2"/>
              </w:numPr>
              <w:spacing w:after="0" w:line="240" w:lineRule="auto"/>
              <w:jc w:val="left"/>
            </w:pPr>
            <w:r>
              <w:rPr>
                <w:sz w:val="17"/>
                <w:szCs w:val="17"/>
              </w:rPr>
              <w:t xml:space="preserve">Facture électronique : occasion de moderniser</w:t>
            </w:r>
          </w:p>
          <w:p>
            <w:pPr>
              <w:pStyle w:val="ListParagraph"/>
              <w:numPr>
                <w:ilvl w:val="0"/>
                <w:numId w:val="2"/>
              </w:numPr>
              <w:spacing w:after="0" w:line="240" w:lineRule="auto"/>
              <w:jc w:val="left"/>
            </w:pPr>
            <w:r>
              <w:rPr>
                <w:sz w:val="17"/>
                <w:szCs w:val="17"/>
              </w:rPr>
              <w:t xml:space="preserve">Site internet pour prospecter et recruter</w:t>
            </w:r>
          </w:p>
        </w:tc>
        <w:tc>
          <w:tcPr>
            <w:tcW w:type="dxa" w:w="4933"/>
            <w:tcBorders>
              <w:top w:val="single" w:color="BFC8D6" w:sz="4"/>
              <w:left w:val="single" w:color="BFC8D6" w:sz="4"/>
              <w:bottom w:val="single" w:color="BFC8D6" w:sz="4"/>
              <w:right w:val="single" w:color="BFC8D6" w:sz="4"/>
            </w:tcBorders>
            <w:shd w:fill="EDE7F6" w:color="auto" w:val="clear"/>
            <w:tcMar>
              <w:top w:type="dxa" w:w="40"/>
              <w:left w:type="dxa" w:w="80"/>
              <w:bottom w:type="dxa" w:w="40"/>
              <w:right w:type="dxa" w:w="80"/>
            </w:tcMar>
            <w:vAlign w:val="top"/>
          </w:tcPr>
          <w:p>
            <w:pPr>
              <w:spacing w:after="0" w:line="240" w:lineRule="auto"/>
              <w:jc w:val="left"/>
            </w:pPr>
            <w:r>
              <w:rPr>
                <w:b/>
                <w:bCs/>
                <w:sz w:val="17"/>
                <w:szCs w:val="17"/>
              </w:rPr>
              <w:t xml:space="preserve">MENACES</w:t>
            </w:r>
          </w:p>
          <w:p>
            <w:pPr>
              <w:pStyle w:val="ListParagraph"/>
              <w:numPr>
                <w:ilvl w:val="0"/>
                <w:numId w:val="2"/>
              </w:numPr>
              <w:spacing w:after="0" w:line="240" w:lineRule="auto"/>
              <w:jc w:val="left"/>
            </w:pPr>
            <w:r>
              <w:rPr>
                <w:sz w:val="17"/>
                <w:szCs w:val="17"/>
              </w:rPr>
              <w:t xml:space="preserve">Cyberattaques (déjà subies)</w:t>
            </w:r>
          </w:p>
          <w:p>
            <w:pPr>
              <w:pStyle w:val="ListParagraph"/>
              <w:numPr>
                <w:ilvl w:val="0"/>
                <w:numId w:val="2"/>
              </w:numPr>
              <w:spacing w:after="0" w:line="240" w:lineRule="auto"/>
              <w:jc w:val="left"/>
            </w:pPr>
            <w:r>
              <w:rPr>
                <w:sz w:val="17"/>
                <w:szCs w:val="17"/>
              </w:rPr>
              <w:t xml:space="preserve">Non-conformité en septembre 2027</w:t>
            </w:r>
          </w:p>
          <w:p>
            <w:pPr>
              <w:pStyle w:val="ListParagraph"/>
              <w:numPr>
                <w:ilvl w:val="0"/>
                <w:numId w:val="2"/>
              </w:numPr>
              <w:spacing w:after="0" w:line="240" w:lineRule="auto"/>
              <w:jc w:val="left"/>
            </w:pPr>
            <w:r>
              <w:rPr>
                <w:sz w:val="17"/>
                <w:szCs w:val="17"/>
              </w:rPr>
              <w:t xml:space="preserve">Concurrents digitalisés, prix du gazole</w:t>
            </w:r>
          </w:p>
        </w:tc>
      </w:tr>
    </w:tbl>
    <w:p>
      <w:pPr>
        <w:spacing w:after="60"/>
      </w:pPr>
    </w:p>
    <w:p>
      <w:pPr>
        <w:keepNext/>
        <w:spacing w:after="60" w:before="0"/>
        <w:jc w:val="both"/>
      </w:pPr>
      <w:r>
        <w:rPr>
          <w:b/>
          <w:bCs/>
          <w:color w:val="1F3864"/>
        </w:rPr>
        <w:t xml:space="preserve">7. Risques encourus</w:t>
      </w:r>
      <w:r>
        <w:rPr>
          <w:color w:val="1F3864"/>
        </w:rPr>
        <w:t xml:space="preserve"> (criticité = probabilité × impact, de 1 à 9)</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00"/>
        <w:gridCol w:w="5166"/>
        <w:gridCol w:w="1500"/>
      </w:tblGrid>
      <w:tr>
        <w:trPr>
          <w:cantSplit/>
          <w:tblHeader/>
        </w:trPr>
        <w:tc>
          <w:tcPr>
            <w:tcW w:type="dxa" w:w="32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Risque</w:t>
            </w:r>
          </w:p>
        </w:tc>
        <w:tc>
          <w:tcPr>
            <w:tcW w:type="dxa" w:w="5166"/>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Conséquence</w:t>
            </w:r>
          </w:p>
        </w:tc>
        <w:tc>
          <w:tcPr>
            <w:tcW w:type="dxa" w:w="15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Criticité</w:t>
            </w:r>
          </w:p>
        </w:tc>
      </w:tr>
      <w:tr>
        <w:trPr>
          <w:cantSplit/>
        </w:trPr>
        <w:tc>
          <w:tcPr>
            <w:tcW w:type="dxa" w:w="32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Usurpation de la messagerie</w:t>
            </w:r>
          </w:p>
        </w:tc>
        <w:tc>
          <w:tcPr>
            <w:tcW w:type="dxa" w:w="51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Faux devis, fraude au faux RIB, perte de confiance des clients</w:t>
            </w:r>
          </w:p>
        </w:tc>
        <w:tc>
          <w:tcPr>
            <w:tcW w:type="dxa" w:w="1500"/>
            <w:tcBorders>
              <w:top w:val="single" w:color="BFC8D6" w:sz="4"/>
              <w:left w:val="single" w:color="BFC8D6" w:sz="4"/>
              <w:bottom w:val="single" w:color="BFC8D6" w:sz="4"/>
              <w:right w:val="single" w:color="BFC8D6" w:sz="4"/>
            </w:tcBorders>
            <w:shd w:fill="F4B6B0" w:color="auto" w:val="clear"/>
            <w:tcMar>
              <w:top w:type="dxa" w:w="40"/>
              <w:left w:type="dxa" w:w="80"/>
              <w:bottom w:type="dxa" w:w="40"/>
              <w:right w:type="dxa" w:w="80"/>
            </w:tcMar>
            <w:vAlign w:val="center"/>
          </w:tcPr>
          <w:p>
            <w:pPr>
              <w:spacing w:after="0" w:line="240" w:lineRule="auto"/>
              <w:jc w:val="center"/>
            </w:pPr>
            <w:r>
              <w:rPr>
                <w:b/>
                <w:bCs/>
                <w:sz w:val="17"/>
                <w:szCs w:val="17"/>
              </w:rPr>
              <w:t xml:space="preserve">9 – Élevée</w:t>
            </w:r>
          </w:p>
        </w:tc>
      </w:tr>
      <w:tr>
        <w:trPr>
          <w:cantSplit/>
        </w:trPr>
        <w:tc>
          <w:tcPr>
            <w:tcW w:type="dxa" w:w="32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Absence d'une assistante</w:t>
            </w:r>
          </w:p>
        </w:tc>
        <w:tc>
          <w:tcPr>
            <w:tcW w:type="dxa" w:w="51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Planning et facturation bloqués</w:t>
            </w:r>
          </w:p>
        </w:tc>
        <w:tc>
          <w:tcPr>
            <w:tcW w:type="dxa" w:w="1500"/>
            <w:tcBorders>
              <w:top w:val="single" w:color="BFC8D6" w:sz="4"/>
              <w:left w:val="single" w:color="BFC8D6" w:sz="4"/>
              <w:bottom w:val="single" w:color="BFC8D6" w:sz="4"/>
              <w:right w:val="single" w:color="BFC8D6" w:sz="4"/>
            </w:tcBorders>
            <w:shd w:fill="F4B6B0" w:color="auto" w:val="clear"/>
            <w:tcMar>
              <w:top w:type="dxa" w:w="40"/>
              <w:left w:type="dxa" w:w="80"/>
              <w:bottom w:type="dxa" w:w="40"/>
              <w:right w:type="dxa" w:w="80"/>
            </w:tcMar>
            <w:vAlign w:val="center"/>
          </w:tcPr>
          <w:p>
            <w:pPr>
              <w:spacing w:after="0" w:line="240" w:lineRule="auto"/>
              <w:jc w:val="center"/>
            </w:pPr>
            <w:r>
              <w:rPr>
                <w:b/>
                <w:bCs/>
                <w:sz w:val="17"/>
                <w:szCs w:val="17"/>
              </w:rPr>
              <w:t xml:space="preserve">9 – Élevée</w:t>
            </w:r>
          </w:p>
        </w:tc>
      </w:tr>
      <w:tr>
        <w:trPr>
          <w:cantSplit/>
        </w:trPr>
        <w:tc>
          <w:tcPr>
            <w:tcW w:type="dxa" w:w="32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Retards de paiement</w:t>
            </w:r>
          </w:p>
        </w:tc>
        <w:tc>
          <w:tcPr>
            <w:tcW w:type="dxa" w:w="51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Trésorerie tendue alors que le résultat baisse</w:t>
            </w:r>
          </w:p>
        </w:tc>
        <w:tc>
          <w:tcPr>
            <w:tcW w:type="dxa" w:w="1500"/>
            <w:tcBorders>
              <w:top w:val="single" w:color="BFC8D6" w:sz="4"/>
              <w:left w:val="single" w:color="BFC8D6" w:sz="4"/>
              <w:bottom w:val="single" w:color="BFC8D6" w:sz="4"/>
              <w:right w:val="single" w:color="BFC8D6" w:sz="4"/>
            </w:tcBorders>
            <w:shd w:fill="F4B6B0" w:color="auto" w:val="clear"/>
            <w:tcMar>
              <w:top w:type="dxa" w:w="40"/>
              <w:left w:type="dxa" w:w="80"/>
              <w:bottom w:type="dxa" w:w="40"/>
              <w:right w:type="dxa" w:w="80"/>
            </w:tcMar>
            <w:vAlign w:val="center"/>
          </w:tcPr>
          <w:p>
            <w:pPr>
              <w:spacing w:after="0" w:line="240" w:lineRule="auto"/>
              <w:jc w:val="center"/>
            </w:pPr>
            <w:r>
              <w:rPr>
                <w:b/>
                <w:bCs/>
                <w:sz w:val="17"/>
                <w:szCs w:val="17"/>
              </w:rPr>
              <w:t xml:space="preserve">9 – Élevée</w:t>
            </w:r>
          </w:p>
        </w:tc>
      </w:tr>
      <w:tr>
        <w:trPr>
          <w:cantSplit/>
        </w:trPr>
        <w:tc>
          <w:tcPr>
            <w:tcW w:type="dxa" w:w="32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Non-conformité à la facture électronique</w:t>
            </w:r>
          </w:p>
        </w:tc>
        <w:tc>
          <w:tcPr>
            <w:tcW w:type="dxa" w:w="51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Sanctions, factures refusées</w:t>
            </w:r>
          </w:p>
        </w:tc>
        <w:tc>
          <w:tcPr>
            <w:tcW w:type="dxa" w:w="1500"/>
            <w:tcBorders>
              <w:top w:val="single" w:color="BFC8D6" w:sz="4"/>
              <w:left w:val="single" w:color="BFC8D6" w:sz="4"/>
              <w:bottom w:val="single" w:color="BFC8D6" w:sz="4"/>
              <w:right w:val="single" w:color="BFC8D6" w:sz="4"/>
            </w:tcBorders>
            <w:shd w:fill="F4B6B0" w:color="auto" w:val="clear"/>
            <w:tcMar>
              <w:top w:type="dxa" w:w="40"/>
              <w:left w:type="dxa" w:w="80"/>
              <w:bottom w:type="dxa" w:w="40"/>
              <w:right w:type="dxa" w:w="80"/>
            </w:tcMar>
            <w:vAlign w:val="center"/>
          </w:tcPr>
          <w:p>
            <w:pPr>
              <w:spacing w:after="0" w:line="240" w:lineRule="auto"/>
              <w:jc w:val="center"/>
            </w:pPr>
            <w:r>
              <w:rPr>
                <w:b/>
                <w:bCs/>
                <w:sz w:val="17"/>
                <w:szCs w:val="17"/>
              </w:rPr>
              <w:t xml:space="preserve">9 – Élevée</w:t>
            </w:r>
          </w:p>
        </w:tc>
      </w:tr>
      <w:tr>
        <w:trPr>
          <w:cantSplit/>
        </w:trPr>
        <w:tc>
          <w:tcPr>
            <w:tcW w:type="dxa" w:w="32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Perte de données</w:t>
            </w:r>
          </w:p>
        </w:tc>
        <w:tc>
          <w:tcPr>
            <w:tcW w:type="dxa" w:w="51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Panne ou rançongiciel sans sauvegarde</w:t>
            </w:r>
          </w:p>
        </w:tc>
        <w:tc>
          <w:tcPr>
            <w:tcW w:type="dxa" w:w="1500"/>
            <w:tcBorders>
              <w:top w:val="single" w:color="BFC8D6" w:sz="4"/>
              <w:left w:val="single" w:color="BFC8D6" w:sz="4"/>
              <w:bottom w:val="single" w:color="BFC8D6" w:sz="4"/>
              <w:right w:val="single" w:color="BFC8D6" w:sz="4"/>
            </w:tcBorders>
            <w:shd w:fill="F4B6B0" w:color="auto" w:val="clear"/>
            <w:tcMar>
              <w:top w:type="dxa" w:w="40"/>
              <w:left w:type="dxa" w:w="80"/>
              <w:bottom w:type="dxa" w:w="40"/>
              <w:right w:type="dxa" w:w="80"/>
            </w:tcMar>
            <w:vAlign w:val="center"/>
          </w:tcPr>
          <w:p>
            <w:pPr>
              <w:spacing w:after="0" w:line="240" w:lineRule="auto"/>
              <w:jc w:val="center"/>
            </w:pPr>
            <w:r>
              <w:rPr>
                <w:b/>
                <w:bCs/>
                <w:sz w:val="17"/>
                <w:szCs w:val="17"/>
              </w:rPr>
              <w:t xml:space="preserve">6 – Élevée</w:t>
            </w:r>
          </w:p>
        </w:tc>
      </w:tr>
      <w:tr>
        <w:trPr>
          <w:cantSplit/>
        </w:trPr>
        <w:tc>
          <w:tcPr>
            <w:tcW w:type="dxa" w:w="32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Erreur d'indexation ou lettre perdue</w:t>
            </w:r>
          </w:p>
        </w:tc>
        <w:tc>
          <w:tcPr>
            <w:tcW w:type="dxa" w:w="51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Perte de marge, prestation non facturée</w:t>
            </w:r>
          </w:p>
        </w:tc>
        <w:tc>
          <w:tcPr>
            <w:tcW w:type="dxa" w:w="1500"/>
            <w:tcBorders>
              <w:top w:val="single" w:color="BFC8D6" w:sz="4"/>
              <w:left w:val="single" w:color="BFC8D6" w:sz="4"/>
              <w:bottom w:val="single" w:color="BFC8D6" w:sz="4"/>
              <w:right w:val="single" w:color="BFC8D6" w:sz="4"/>
            </w:tcBorders>
            <w:shd w:fill="FCE4B6" w:color="auto" w:val="clear"/>
            <w:tcMar>
              <w:top w:type="dxa" w:w="40"/>
              <w:left w:type="dxa" w:w="80"/>
              <w:bottom w:type="dxa" w:w="40"/>
              <w:right w:type="dxa" w:w="80"/>
            </w:tcMar>
            <w:vAlign w:val="center"/>
          </w:tcPr>
          <w:p>
            <w:pPr>
              <w:spacing w:after="0" w:line="240" w:lineRule="auto"/>
              <w:jc w:val="center"/>
            </w:pPr>
            <w:r>
              <w:rPr>
                <w:b/>
                <w:bCs/>
                <w:sz w:val="17"/>
                <w:szCs w:val="17"/>
              </w:rPr>
              <w:t xml:space="preserve">4 – Modérée</w:t>
            </w:r>
          </w:p>
        </w:tc>
      </w:tr>
    </w:tbl>
    <w:p>
      <w:pPr>
        <w:pStyle w:val="Heading1"/>
      </w:pPr>
      <w:r>
        <w:t xml:space="preserve">4. Plan stratégique</w:t>
      </w:r>
    </w:p>
    <w:p>
      <w:pPr>
        <w:pStyle w:val="Heading2"/>
      </w:pPr>
      <w:r>
        <w:t xml:space="preserve">4.1. Objectifs (SMART)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400"/>
        <w:gridCol w:w="4566"/>
        <w:gridCol w:w="1900"/>
      </w:tblGrid>
      <w:tr>
        <w:trPr>
          <w:cantSplit/>
          <w:tblHeader/>
        </w:trPr>
        <w:tc>
          <w:tcPr>
            <w:tcW w:type="dxa" w:w="34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Objectif</w:t>
            </w:r>
          </w:p>
        </w:tc>
        <w:tc>
          <w:tcPr>
            <w:tcW w:type="dxa" w:w="4566"/>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Cible</w:t>
            </w:r>
          </w:p>
        </w:tc>
        <w:tc>
          <w:tcPr>
            <w:tcW w:type="dxa" w:w="19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Échéance</w:t>
            </w:r>
          </w:p>
        </w:tc>
      </w:tr>
      <w:tr>
        <w:trPr>
          <w:cantSplit/>
        </w:trPr>
        <w:tc>
          <w:tcPr>
            <w:tcW w:type="dxa" w:w="34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Sécuriser la messagerie et les données</w:t>
            </w:r>
          </w:p>
        </w:tc>
        <w:tc>
          <w:tcPr>
            <w:tcW w:type="dxa" w:w="45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Double authentification, sauvegardes testées</w:t>
            </w:r>
          </w:p>
        </w:tc>
        <w:tc>
          <w:tcPr>
            <w:tcW w:type="dxa" w:w="19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Décembre 2026</w:t>
            </w:r>
          </w:p>
        </w:tc>
      </w:tr>
      <w:tr>
        <w:trPr>
          <w:cantSplit/>
        </w:trPr>
        <w:tc>
          <w:tcPr>
            <w:tcW w:type="dxa" w:w="34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Être visible et digitaliser les plannings</w:t>
            </w:r>
          </w:p>
        </w:tc>
        <w:tc>
          <w:tcPr>
            <w:tcW w:type="dxa" w:w="45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Site en ligne ; 100 % des plannings sur le SaaS</w:t>
            </w:r>
          </w:p>
        </w:tc>
        <w:tc>
          <w:tcPr>
            <w:tcW w:type="dxa" w:w="19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Mars 2027</w:t>
            </w:r>
          </w:p>
        </w:tc>
      </w:tr>
      <w:tr>
        <w:trPr>
          <w:cantSplit/>
        </w:trPr>
        <w:tc>
          <w:tcPr>
            <w:tcW w:type="dxa" w:w="34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Supprimer le papier et le calcul manuel</w:t>
            </w:r>
          </w:p>
        </w:tc>
        <w:tc>
          <w:tcPr>
            <w:tcW w:type="dxa" w:w="45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100 % des lettres numérisées et des factures indexées automatiquement</w:t>
            </w:r>
          </w:p>
        </w:tc>
        <w:tc>
          <w:tcPr>
            <w:tcW w:type="dxa" w:w="19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Mai 2027</w:t>
            </w:r>
          </w:p>
        </w:tc>
      </w:tr>
      <w:tr>
        <w:trPr>
          <w:cantSplit/>
        </w:trPr>
        <w:tc>
          <w:tcPr>
            <w:tcW w:type="dxa" w:w="34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Facturer et encaisser plus vite</w:t>
            </w:r>
          </w:p>
        </w:tc>
        <w:tc>
          <w:tcPr>
            <w:tcW w:type="dxa" w:w="45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Facture sous 48 h ; factures en retard – 30 %</w:t>
            </w:r>
          </w:p>
        </w:tc>
        <w:tc>
          <w:tcPr>
            <w:tcW w:type="dxa" w:w="19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Juin – sept. 2027</w:t>
            </w:r>
          </w:p>
        </w:tc>
      </w:tr>
      <w:tr>
        <w:trPr>
          <w:cantSplit/>
        </w:trPr>
        <w:tc>
          <w:tcPr>
            <w:tcW w:type="dxa" w:w="34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Être conforme</w:t>
            </w:r>
          </w:p>
        </w:tc>
        <w:tc>
          <w:tcPr>
            <w:tcW w:type="dxa" w:w="45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Factures électroniques émises via une plateforme agréée</w:t>
            </w:r>
          </w:p>
        </w:tc>
        <w:tc>
          <w:tcPr>
            <w:tcW w:type="dxa" w:w="19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Avant le 1er sept. 2027</w:t>
            </w:r>
          </w:p>
        </w:tc>
      </w:tr>
      <w:tr>
        <w:trPr>
          <w:cantSplit/>
        </w:trPr>
        <w:tc>
          <w:tcPr>
            <w:tcW w:type="dxa" w:w="34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Réduire la charge administrative</w:t>
            </w:r>
          </w:p>
        </w:tc>
        <w:tc>
          <w:tcPr>
            <w:tcW w:type="dxa" w:w="45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 50 % : 1 assistante au lieu de 2</w:t>
            </w:r>
          </w:p>
        </w:tc>
        <w:tc>
          <w:tcPr>
            <w:tcW w:type="dxa" w:w="19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Septembre 2027</w:t>
            </w:r>
          </w:p>
        </w:tc>
      </w:tr>
    </w:tbl>
    <w:p>
      <w:pPr>
        <w:pStyle w:val="Heading2"/>
      </w:pPr>
      <w:r>
        <w:t xml:space="preserve">4.2. Étapes clés et délais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666"/>
      </w:tblGrid>
      <w:tr>
        <w:trPr>
          <w:cantSplit/>
          <w:tblHeader/>
        </w:trPr>
        <w:tc>
          <w:tcPr>
            <w:tcW w:type="dxa" w:w="23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Phase</w:t>
            </w:r>
          </w:p>
        </w:tc>
        <w:tc>
          <w:tcPr>
            <w:tcW w:type="dxa" w:w="19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Période</w:t>
            </w:r>
          </w:p>
        </w:tc>
        <w:tc>
          <w:tcPr>
            <w:tcW w:type="dxa" w:w="5666"/>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Contenu</w:t>
            </w:r>
          </w:p>
        </w:tc>
      </w:tr>
      <w:tr>
        <w:trPr>
          <w:cantSplit/>
        </w:trPr>
        <w:tc>
          <w:tcPr>
            <w:tcW w:type="dxa" w:w="23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Cadrage et sécurisation</w:t>
            </w:r>
          </w:p>
        </w:tc>
        <w:tc>
          <w:tcPr>
            <w:tcW w:type="dxa" w:w="19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Nov. – déc. 2026</w:t>
            </w:r>
          </w:p>
        </w:tc>
        <w:tc>
          <w:tcPr>
            <w:tcW w:type="dxa" w:w="56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Cahier des charges ; messagerie pro, sauvegardes ; plateforme agréée pour recevoir les e-factures</w:t>
            </w:r>
          </w:p>
        </w:tc>
      </w:tr>
      <w:tr>
        <w:trPr>
          <w:cantSplit/>
        </w:trPr>
        <w:tc>
          <w:tcPr>
            <w:tcW w:type="dxa" w:w="23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Choix des solutions</w:t>
            </w:r>
          </w:p>
        </w:tc>
        <w:tc>
          <w:tcPr>
            <w:tcW w:type="dxa" w:w="19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Déc. 2026 – janv. 2027</w:t>
            </w:r>
          </w:p>
        </w:tc>
        <w:tc>
          <w:tcPr>
            <w:tcW w:type="dxa" w:w="56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Démonstrations, comparaison solution du marché / sur mesure ; contrats (RGPD, réversibilité des données)</w:t>
            </w:r>
          </w:p>
        </w:tc>
      </w:tr>
      <w:tr>
        <w:trPr>
          <w:cantSplit/>
        </w:trPr>
        <w:tc>
          <w:tcPr>
            <w:tcW w:type="dxa" w:w="23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Site internet</w:t>
            </w:r>
          </w:p>
        </w:tc>
        <w:tc>
          <w:tcPr>
            <w:tcW w:type="dxa" w:w="19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Janv. – mars 2027</w:t>
            </w:r>
          </w:p>
        </w:tc>
        <w:tc>
          <w:tcPr>
            <w:tcW w:type="dxa" w:w="56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Contenus, référencement local, formulaire de devis</w:t>
            </w:r>
          </w:p>
        </w:tc>
      </w:tr>
      <w:tr>
        <w:trPr>
          <w:cantSplit/>
        </w:trPr>
        <w:tc>
          <w:tcPr>
            <w:tcW w:type="dxa" w:w="23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Déploiement du SaaS</w:t>
            </w:r>
          </w:p>
        </w:tc>
        <w:tc>
          <w:tcPr>
            <w:tcW w:type="dxa" w:w="19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Févr. – juin 2027</w:t>
            </w:r>
          </w:p>
        </w:tc>
        <w:tc>
          <w:tcPr>
            <w:tcW w:type="dxa" w:w="56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Module par module : planning, lettres de voiture, indexation et pré-facturation IA, relances et suivi ; 1 mois en parallèle papier / numérique</w:t>
            </w:r>
          </w:p>
        </w:tc>
      </w:tr>
      <w:tr>
        <w:trPr>
          <w:cantSplit/>
        </w:trPr>
        <w:tc>
          <w:tcPr>
            <w:tcW w:type="dxa" w:w="23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Généralisation</w:t>
            </w:r>
          </w:p>
        </w:tc>
        <w:tc>
          <w:tcPr>
            <w:tcW w:type="dxa" w:w="19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Juin – sept. 2027</w:t>
            </w:r>
          </w:p>
        </w:tc>
        <w:tc>
          <w:tcPr>
            <w:tcW w:type="dxa" w:w="56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Émission des e-factures, fin du papier, réorganisation du poste d'assistante</w:t>
            </w:r>
          </w:p>
        </w:tc>
      </w:tr>
      <w:tr>
        <w:trPr>
          <w:cantSplit/>
        </w:trPr>
        <w:tc>
          <w:tcPr>
            <w:tcW w:type="dxa" w:w="23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Bilan</w:t>
            </w:r>
          </w:p>
        </w:tc>
        <w:tc>
          <w:tcPr>
            <w:tcW w:type="dxa" w:w="19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Sept. – oct. 2027</w:t>
            </w:r>
          </w:p>
        </w:tc>
        <w:tc>
          <w:tcPr>
            <w:tcW w:type="dxa" w:w="56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Mesure des indicateurs, retours des utilisateurs</w:t>
            </w:r>
          </w:p>
        </w:tc>
      </w:tr>
    </w:tbl>
    <w:p>
      <w:pPr>
        <w:pStyle w:val="Heading2"/>
      </w:pPr>
      <w:r>
        <w:t xml:space="preserve">4.3. Ressources nécessaires</w:t>
      </w:r>
    </w:p>
    <w:p>
      <w:pPr>
        <w:pStyle w:val="ListParagraph"/>
        <w:numPr>
          <w:ilvl w:val="0"/>
          <w:numId w:val="3"/>
        </w:numPr>
        <w:spacing w:after="40"/>
        <w:jc w:val="both"/>
      </w:pPr>
      <w:r>
        <w:rPr>
          <w:b/>
          <w:bCs/>
        </w:rPr>
        <w:t xml:space="preserve">Humaines</w:t>
      </w:r>
      <w:r>
        <w:t xml:space="preserve"> : un co-gérant sponsor, une assistante référente du SaaS, deux chauffeurs ambassadeurs, un prestataire web, l'éditeur du SaaS et l'expert-comptable.</w:t>
      </w:r>
    </w:p>
    <w:p>
      <w:pPr>
        <w:pStyle w:val="ListParagraph"/>
        <w:numPr>
          <w:ilvl w:val="0"/>
          <w:numId w:val="3"/>
        </w:numPr>
        <w:spacing w:after="40"/>
        <w:jc w:val="both"/>
      </w:pPr>
      <w:r>
        <w:rPr>
          <w:b/>
          <w:bCs/>
        </w:rPr>
        <w:t xml:space="preserve">Techniques</w:t>
      </w:r>
      <w:r>
        <w:t xml:space="preserve"> : abonnement SaaS et plateforme agréée, nom de domaine et hébergement, smartphones reconditionnés pour les chauffeurs, sauvegarde cloud.</w:t>
      </w:r>
    </w:p>
    <w:p>
      <w:pPr>
        <w:pStyle w:val="ListParagraph"/>
        <w:numPr>
          <w:ilvl w:val="0"/>
          <w:numId w:val="3"/>
        </w:numPr>
        <w:spacing w:after="40"/>
        <w:jc w:val="both"/>
      </w:pPr>
      <w:r>
        <w:rPr>
          <w:b/>
          <w:bCs/>
        </w:rPr>
        <w:t xml:space="preserve">Financières</w:t>
      </w:r>
      <w:r>
        <w:t xml:space="preserve"> : environ </w:t>
      </w:r>
      <w:r>
        <w:rPr>
          <w:b/>
          <w:bCs/>
        </w:rPr>
        <w:t xml:space="preserve">10 400 €</w:t>
      </w:r>
      <w:r>
        <w:t xml:space="preserve"> d'investissement initial (site 2 500 €, paramétrage du SaaS et de l'IA 4 000 €, smartphones 1 080 €, formation 1 500 €, sauvegarde et imprévus) et environ </w:t>
      </w:r>
      <w:r>
        <w:rPr>
          <w:b/>
          <w:bCs/>
        </w:rPr>
        <w:t xml:space="preserve">5 050 € par an</w:t>
      </w:r>
      <w:r>
        <w:t xml:space="preserve"> d'abonnements.</w:t>
      </w:r>
    </w:p>
    <w:p>
      <w:pPr>
        <w:spacing w:after="80" w:before="60"/>
        <w:jc w:val="both"/>
      </w:pPr>
      <w:r>
        <w:rPr>
          <w:b/>
          <w:bCs/>
        </w:rPr>
        <w:t xml:space="preserve">Gains estimés</w:t>
      </w:r>
      <w:r>
        <w:t xml:space="preserve"> : environ 32 800 € par an, dont 30 000 € grâce au passage à une seule assistante, soit un gain net de 27 750 € par an. </w:t>
      </w:r>
      <w:r>
        <w:rPr>
          <w:b/>
          <w:bCs/>
        </w:rPr>
        <w:t xml:space="preserve">L'investissement est remboursé en moins de six mois.</w:t>
      </w:r>
    </w:p>
    <w:p>
      <w:pPr>
        <w:pStyle w:val="Heading1"/>
      </w:pPr>
      <w:r>
        <w:t xml:space="preserve">5. Parties prenantes et stratégies de communication</w:t>
      </w:r>
    </w:p>
    <w:p>
      <w:pPr>
        <w:spacing w:after="80" w:before="0"/>
        <w:jc w:val="both"/>
      </w:pPr>
      <w:r>
        <w:t xml:space="preserve">D'après la matrice pouvoir / intérêt (Mendelow), les co-gérants, les clients principaux et l'éditeur du SaaS sont à </w:t>
      </w:r>
      <w:r>
        <w:rPr>
          <w:b/>
          <w:bCs/>
        </w:rPr>
        <w:t xml:space="preserve">gérer étroitement</w:t>
      </w:r>
      <w:r>
        <w:t xml:space="preserve"> ; les assistantes et les chauffeurs, très concernés, sont à </w:t>
      </w:r>
      <w:r>
        <w:rPr>
          <w:b/>
          <w:bCs/>
        </w:rPr>
        <w:t xml:space="preserve">impliquer</w:t>
      </w:r>
      <w:r>
        <w:t xml:space="preserve"> ; l'administration et la banque sont à </w:t>
      </w:r>
      <w:r>
        <w:rPr>
          <w:b/>
          <w:bCs/>
        </w:rPr>
        <w:t xml:space="preserve">satisfaire</w:t>
      </w:r>
      <w: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200"/>
        <w:gridCol w:w="3366"/>
      </w:tblGrid>
      <w:tr>
        <w:trPr>
          <w:cantSplit/>
          <w:tblHeader/>
        </w:trPr>
        <w:tc>
          <w:tcPr>
            <w:tcW w:type="dxa" w:w="20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Partie prenante</w:t>
            </w:r>
          </w:p>
        </w:tc>
        <w:tc>
          <w:tcPr>
            <w:tcW w:type="dxa" w:w="23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Intérêts et attentes</w:t>
            </w:r>
          </w:p>
        </w:tc>
        <w:tc>
          <w:tcPr>
            <w:tcW w:type="dxa" w:w="22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Préoccupations</w:t>
            </w:r>
          </w:p>
        </w:tc>
        <w:tc>
          <w:tcPr>
            <w:tcW w:type="dxa" w:w="3366"/>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Communication et engagement</w:t>
            </w:r>
          </w:p>
        </w:tc>
      </w:tr>
      <w:tr>
        <w:trPr>
          <w:cantSplit/>
        </w:trPr>
        <w:tc>
          <w:tcPr>
            <w:tcW w:type="dxa" w:w="20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Co-gérants</w:t>
            </w:r>
          </w:p>
        </w:tc>
        <w:tc>
          <w:tcPr>
            <w:tcW w:type="dxa" w:w="23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Rentabilité, conformité, retour rapide</w:t>
            </w:r>
          </w:p>
        </w:tc>
        <w:tc>
          <w:tcPr>
            <w:tcW w:type="dxa" w:w="22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Coût, perturbation de l'activité</w:t>
            </w:r>
          </w:p>
        </w:tc>
        <w:tc>
          <w:tcPr>
            <w:tcW w:type="dxa" w:w="33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Comité de pilotage mensuel, tableau de bord ; sponsor officiel du projet</w:t>
            </w:r>
          </w:p>
        </w:tc>
      </w:tr>
      <w:tr>
        <w:trPr>
          <w:cantSplit/>
        </w:trPr>
        <w:tc>
          <w:tcPr>
            <w:tcW w:type="dxa" w:w="20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Assistantes de direction</w:t>
            </w:r>
          </w:p>
        </w:tc>
        <w:tc>
          <w:tcPr>
            <w:tcW w:type="dxa" w:w="23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Moins de tâches répétitives, outil fiable</w:t>
            </w:r>
          </w:p>
        </w:tc>
        <w:tc>
          <w:tcPr>
            <w:tcW w:type="dxa" w:w="22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Peur pour leur emploi (2 postes à 1)</w:t>
            </w:r>
          </w:p>
        </w:tc>
        <w:tc>
          <w:tcPr>
            <w:tcW w:type="dxa" w:w="33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Entretiens individuels, co-construction du cahier des charges, rôle de référente, formation</w:t>
            </w:r>
          </w:p>
        </w:tc>
      </w:tr>
      <w:tr>
        <w:trPr>
          <w:cantSplit/>
        </w:trPr>
        <w:tc>
          <w:tcPr>
            <w:tcW w:type="dxa" w:w="20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Chauffeurs et intérimaires</w:t>
            </w:r>
          </w:p>
        </w:tc>
        <w:tc>
          <w:tcPr>
            <w:tcW w:type="dxa" w:w="23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Planning en direct, fin des dépôts au local</w:t>
            </w:r>
          </w:p>
        </w:tc>
        <w:tc>
          <w:tcPr>
            <w:tcW w:type="dxa" w:w="22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Aisance numérique, surveillance, téléphone personnel</w:t>
            </w:r>
          </w:p>
        </w:tc>
        <w:tc>
          <w:tcPr>
            <w:tcW w:type="dxa" w:w="33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Démo à l'entrepôt, tutoriels vidéo courts, guide par QR code, 2 ambassadeurs, charte (déconnexion, pas de géolocalisation hors service)</w:t>
            </w:r>
          </w:p>
        </w:tc>
      </w:tr>
      <w:tr>
        <w:trPr>
          <w:cantSplit/>
        </w:trPr>
        <w:tc>
          <w:tcPr>
            <w:tcW w:type="dxa" w:w="20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Clients</w:t>
            </w:r>
          </w:p>
        </w:tc>
        <w:tc>
          <w:tcPr>
            <w:tcW w:type="dxa" w:w="23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Factures rapides et justes, preuve de livraison</w:t>
            </w:r>
          </w:p>
        </w:tc>
        <w:tc>
          <w:tcPr>
            <w:tcW w:type="dxa" w:w="22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Relances jugées insistantes</w:t>
            </w:r>
          </w:p>
        </w:tc>
        <w:tc>
          <w:tcPr>
            <w:tcW w:type="dxa" w:w="33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E-mail d'information, espace client en libre-service, relances personnalisées</w:t>
            </w:r>
          </w:p>
        </w:tc>
      </w:tr>
      <w:tr>
        <w:trPr>
          <w:cantSplit/>
        </w:trPr>
        <w:tc>
          <w:tcPr>
            <w:tcW w:type="dxa" w:w="20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Expert-comptable, éditeur, prestataire web</w:t>
            </w:r>
          </w:p>
        </w:tc>
        <w:tc>
          <w:tcPr>
            <w:tcW w:type="dxa" w:w="23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Données fiables, cahier des charges clair</w:t>
            </w:r>
          </w:p>
        </w:tc>
        <w:tc>
          <w:tcPr>
            <w:tcW w:type="dxa" w:w="22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Ressaisies, délais</w:t>
            </w:r>
          </w:p>
        </w:tc>
        <w:tc>
          <w:tcPr>
            <w:tcW w:type="dxa" w:w="33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Réunions techniques, contrat avec clause de réversibilité</w:t>
            </w:r>
          </w:p>
        </w:tc>
      </w:tr>
      <w:tr>
        <w:trPr>
          <w:cantSplit/>
        </w:trPr>
        <w:tc>
          <w:tcPr>
            <w:tcW w:type="dxa" w:w="20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DGFiP, CNIL, banque</w:t>
            </w:r>
          </w:p>
        </w:tc>
        <w:tc>
          <w:tcPr>
            <w:tcW w:type="dxa" w:w="23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Conformité, maîtrise des risques</w:t>
            </w:r>
          </w:p>
        </w:tc>
        <w:tc>
          <w:tcPr>
            <w:tcW w:type="dxa" w:w="22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Non-conformité, risque cyber</w:t>
            </w:r>
          </w:p>
        </w:tc>
        <w:tc>
          <w:tcPr>
            <w:tcW w:type="dxa" w:w="33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Plateforme agréée, registre RGPD, information sur la sécurité</w:t>
            </w:r>
          </w:p>
        </w:tc>
      </w:tr>
    </w:tbl>
    <w:p>
      <w:pPr>
        <w:spacing w:after="80" w:before="80"/>
        <w:jc w:val="both"/>
      </w:pPr>
      <w:r>
        <w:t xml:space="preserve">Notre communication s'appuie sur les nouveaux modèles de l'économie numérique : </w:t>
      </w:r>
      <w:r>
        <w:rPr>
          <w:b/>
          <w:bCs/>
        </w:rPr>
        <w:t xml:space="preserve">l'abonnement SaaS</w:t>
      </w:r>
      <w:r>
        <w:t xml:space="preserve"> (on paie l'usage, pas un logiciel), </w:t>
      </w:r>
      <w:r>
        <w:rPr>
          <w:b/>
          <w:bCs/>
        </w:rPr>
        <w:t xml:space="preserve">le libre-service</w:t>
      </w:r>
      <w:r>
        <w:t xml:space="preserve"> (chauffeurs et clients accèdent seuls à l'information) et </w:t>
      </w:r>
      <w:r>
        <w:rPr>
          <w:b/>
          <w:bCs/>
        </w:rPr>
        <w:t xml:space="preserve">la visibilité par les plateformes</w:t>
      </w:r>
      <w:r>
        <w:t xml:space="preserve"> (site, fiche Google, LinkedIn, bourses de fret pour limiter les retours à vide).</w:t>
      </w:r>
    </w:p>
    <w:p>
      <w:pPr>
        <w:pStyle w:val="Heading1"/>
      </w:pPr>
      <w:r>
        <w:t xml:space="preserve">6. Dimension RSE</w:t>
      </w:r>
    </w:p>
    <w:p>
      <w:pPr>
        <w:pStyle w:val="ListParagraph"/>
        <w:numPr>
          <w:ilvl w:val="0"/>
          <w:numId w:val="3"/>
        </w:numPr>
        <w:spacing w:after="40"/>
        <w:jc w:val="both"/>
      </w:pPr>
      <w:r>
        <w:rPr>
          <w:b/>
          <w:bCs/>
        </w:rPr>
        <w:t xml:space="preserve">Environnement</w:t>
      </w:r>
      <w:r>
        <w:t xml:space="preserve"> : zéro papier, fin des trajets pour déposer les lettres de voiture, planning optimisé (moins de kilomètres à vide), calcul automatique du CO2 de chaque prestation, smartphones reconditionnés et recyclage DEEE (loi REEN).</w:t>
      </w:r>
    </w:p>
    <w:p>
      <w:pPr>
        <w:pStyle w:val="ListParagraph"/>
        <w:numPr>
          <w:ilvl w:val="0"/>
          <w:numId w:val="3"/>
        </w:numPr>
        <w:spacing w:after="40"/>
        <w:jc w:val="both"/>
      </w:pPr>
      <w:r>
        <w:rPr>
          <w:b/>
          <w:bCs/>
        </w:rPr>
        <w:t xml:space="preserve">Social</w:t>
      </w:r>
      <w:r>
        <w:t xml:space="preserve"> : moins de tâches répétitives ; passage à une assistante </w:t>
      </w:r>
      <w:r>
        <w:rPr>
          <w:b/>
          <w:bCs/>
        </w:rPr>
        <w:t xml:space="preserve">sans licenciement sec</w:t>
      </w:r>
      <w:r>
        <w:t xml:space="preserve"> (départ naturel ou redéploiement vers le commercial et la relation client) ; formation de tous (OPCO Mobilités) ; droit à la déconnexion.</w:t>
      </w:r>
    </w:p>
    <w:p>
      <w:pPr>
        <w:pStyle w:val="ListParagraph"/>
        <w:numPr>
          <w:ilvl w:val="0"/>
          <w:numId w:val="3"/>
        </w:numPr>
        <w:spacing w:after="40"/>
        <w:jc w:val="both"/>
      </w:pPr>
      <w:r>
        <w:rPr>
          <w:b/>
          <w:bCs/>
        </w:rPr>
        <w:t xml:space="preserve">Gouvernance</w:t>
      </w:r>
      <w:r>
        <w:t xml:space="preserve"> : conformité (facture électronique, indexation, RGPD), indexation transparente pour les clients, protection contre les faux devis.</w:t>
      </w:r>
    </w:p>
    <w:p>
      <w:pPr>
        <w:pStyle w:val="Heading1"/>
      </w:pPr>
      <w:r>
        <w:t xml:space="preserve">7. Opportunités et défis du projet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666"/>
      </w:tblGrid>
      <w:tr>
        <w:trPr>
          <w:cantSplit/>
          <w:tblHeader/>
        </w:trPr>
        <w:tc>
          <w:tcPr>
            <w:tcW w:type="dxa" w:w="35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Opportunité</w:t>
            </w:r>
          </w:p>
        </w:tc>
        <w:tc>
          <w:tcPr>
            <w:tcW w:type="dxa" w:w="2700"/>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Défi</w:t>
            </w:r>
          </w:p>
        </w:tc>
        <w:tc>
          <w:tcPr>
            <w:tcW w:type="dxa" w:w="3666"/>
            <w:tcBorders>
              <w:top w:val="single" w:color="BFC8D6" w:sz="4"/>
              <w:left w:val="single" w:color="BFC8D6" w:sz="4"/>
              <w:bottom w:val="single" w:color="BFC8D6" w:sz="4"/>
              <w:right w:val="single" w:color="BFC8D6" w:sz="4"/>
            </w:tcBorders>
            <w:shd w:fill="1F3864" w:color="auto" w:val="clear"/>
            <w:tcMar>
              <w:top w:type="dxa" w:w="40"/>
              <w:left w:type="dxa" w:w="80"/>
              <w:bottom w:type="dxa" w:w="40"/>
              <w:right w:type="dxa" w:w="80"/>
            </w:tcMar>
            <w:vAlign w:val="center"/>
          </w:tcPr>
          <w:p>
            <w:pPr>
              <w:spacing w:after="0" w:line="240" w:lineRule="auto"/>
              <w:jc w:val="left"/>
            </w:pPr>
            <w:r>
              <w:rPr>
                <w:b/>
                <w:bCs/>
                <w:color w:val="FFFFFF"/>
                <w:sz w:val="17"/>
                <w:szCs w:val="17"/>
              </w:rPr>
              <w:t xml:space="preserve">Notre réponse</w:t>
            </w:r>
          </w:p>
        </w:tc>
      </w:tr>
      <w:tr>
        <w:trPr>
          <w:cantSplit/>
        </w:trPr>
        <w:tc>
          <w:tcPr>
            <w:tcW w:type="dxa" w:w="35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Libérer les assistantes : environ 30 000 € par an</w:t>
            </w:r>
          </w:p>
        </w:tc>
        <w:tc>
          <w:tcPr>
            <w:tcW w:type="dxa" w:w="27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Peur pour l'emploi, climat social</w:t>
            </w:r>
          </w:p>
        </w:tc>
        <w:tc>
          <w:tcPr>
            <w:tcW w:type="dxa" w:w="36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Co-construction, redéploiement plutôt que suppression</w:t>
            </w:r>
          </w:p>
        </w:tc>
      </w:tr>
      <w:tr>
        <w:trPr>
          <w:cantSplit/>
        </w:trPr>
        <w:tc>
          <w:tcPr>
            <w:tcW w:type="dxa" w:w="35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Chauffeurs autonomes, moins de trajets</w:t>
            </w:r>
          </w:p>
        </w:tc>
        <w:tc>
          <w:tcPr>
            <w:tcW w:type="dxa" w:w="27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Réticence, fracture numérique</w:t>
            </w:r>
          </w:p>
        </w:tc>
        <w:tc>
          <w:tcPr>
            <w:tcW w:type="dxa" w:w="36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Ambassadeurs, tutoriels, application simple utilisable hors connexion</w:t>
            </w:r>
          </w:p>
        </w:tc>
      </w:tr>
      <w:tr>
        <w:trPr>
          <w:cantSplit/>
        </w:trPr>
        <w:tc>
          <w:tcPr>
            <w:tcW w:type="dxa" w:w="35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Facture le jour de la livraison, relances automatiques</w:t>
            </w:r>
          </w:p>
        </w:tc>
        <w:tc>
          <w:tcPr>
            <w:tcW w:type="dxa" w:w="27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Erreurs possibles de l'IA</w:t>
            </w:r>
          </w:p>
        </w:tc>
        <w:tc>
          <w:tcPr>
            <w:tcW w:type="dxa" w:w="36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L'IA prépare, l'assistante valide chaque facture</w:t>
            </w:r>
          </w:p>
        </w:tc>
      </w:tr>
      <w:tr>
        <w:trPr>
          <w:cantSplit/>
        </w:trPr>
        <w:tc>
          <w:tcPr>
            <w:tcW w:type="dxa" w:w="35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La facture électronique devient un levier de modernisation</w:t>
            </w:r>
          </w:p>
        </w:tc>
        <w:tc>
          <w:tcPr>
            <w:tcW w:type="dxa" w:w="27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Échéance courte (septembre 2027)</w:t>
            </w:r>
          </w:p>
        </w:tc>
        <w:tc>
          <w:tcPr>
            <w:tcW w:type="dxa" w:w="36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Plateforme agréée dès la première phase</w:t>
            </w:r>
          </w:p>
        </w:tc>
      </w:tr>
      <w:tr>
        <w:trPr>
          <w:cantSplit/>
        </w:trPr>
        <w:tc>
          <w:tcPr>
            <w:tcW w:type="dxa" w:w="35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bCs/>
                <w:color w:val="1F3864"/>
                <w:sz w:val="17"/>
                <w:szCs w:val="17"/>
              </w:rPr>
              <w:t xml:space="preserve">Visibilité et nouveaux clients grâce au site</w:t>
            </w:r>
          </w:p>
        </w:tc>
        <w:tc>
          <w:tcPr>
            <w:tcW w:type="dxa" w:w="2700"/>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Budget limité (résultat de 9,1 k€)</w:t>
            </w:r>
          </w:p>
        </w:tc>
        <w:tc>
          <w:tcPr>
            <w:tcW w:type="dxa" w:w="3666"/>
            <w:tcBorders>
              <w:top w:val="single" w:color="BFC8D6" w:sz="4"/>
              <w:left w:val="single" w:color="BFC8D6" w:sz="4"/>
              <w:bottom w:val="single" w:color="BFC8D6" w:sz="4"/>
              <w:right w:val="single" w:color="BFC8D6" w:sz="4"/>
            </w:tcBorders>
            <w:tcMar>
              <w:top w:type="dxa" w:w="40"/>
              <w:left w:type="dxa" w:w="80"/>
              <w:bottom w:type="dxa" w:w="40"/>
              <w:right w:type="dxa" w:w="80"/>
            </w:tcMar>
            <w:vAlign w:val="center"/>
          </w:tcPr>
          <w:p>
            <w:pPr>
              <w:spacing w:after="0" w:line="240" w:lineRule="auto"/>
              <w:jc w:val="left"/>
            </w:pPr>
            <w:r>
              <w:rPr>
                <w:b w:val="false"/>
                <w:bCs w:val="false"/>
                <w:sz w:val="17"/>
                <w:szCs w:val="17"/>
              </w:rPr>
              <w:t xml:space="preserve">Abonnements, déploiement progressif, aides (France Num, CCI)</w:t>
            </w:r>
          </w:p>
        </w:tc>
      </w:tr>
      <w:tr>
        <w:trPr>
          <w:cantSplit/>
        </w:trPr>
        <w:tc>
          <w:tcPr>
            <w:tcW w:type="dxa" w:w="35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bCs/>
                <w:color w:val="1F3864"/>
                <w:sz w:val="17"/>
                <w:szCs w:val="17"/>
              </w:rPr>
              <w:t xml:space="preserve">Données sécurisées, pilotage en temps réel</w:t>
            </w:r>
          </w:p>
        </w:tc>
        <w:tc>
          <w:tcPr>
            <w:tcW w:type="dxa" w:w="2700"/>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Saisonnalité, choix de l'outil</w:t>
            </w:r>
          </w:p>
        </w:tc>
        <w:tc>
          <w:tcPr>
            <w:tcW w:type="dxa" w:w="3666"/>
            <w:tcBorders>
              <w:top w:val="single" w:color="BFC8D6" w:sz="4"/>
              <w:left w:val="single" w:color="BFC8D6" w:sz="4"/>
              <w:bottom w:val="single" w:color="BFC8D6" w:sz="4"/>
              <w:right w:val="single" w:color="BFC8D6" w:sz="4"/>
            </w:tcBorders>
            <w:shd w:fill="F2F5FA" w:color="auto" w:val="clear"/>
            <w:tcMar>
              <w:top w:type="dxa" w:w="40"/>
              <w:left w:type="dxa" w:w="80"/>
              <w:bottom w:type="dxa" w:w="40"/>
              <w:right w:type="dxa" w:w="80"/>
            </w:tcMar>
            <w:vAlign w:val="center"/>
          </w:tcPr>
          <w:p>
            <w:pPr>
              <w:spacing w:after="0" w:line="240" w:lineRule="auto"/>
              <w:jc w:val="left"/>
            </w:pPr>
            <w:r>
              <w:rPr>
                <w:b w:val="false"/>
                <w:bCs w:val="false"/>
                <w:sz w:val="17"/>
                <w:szCs w:val="17"/>
              </w:rPr>
              <w:t xml:space="preserve">Déploiement en période creuse, tests avant contrat, réversibilité</w:t>
            </w:r>
          </w:p>
        </w:tc>
      </w:tr>
    </w:tbl>
    <w:p>
      <w:pPr>
        <w:pStyle w:val="Heading1"/>
      </w:pPr>
      <w:r>
        <w:t xml:space="preserve">Conclusion</w:t>
      </w:r>
    </w:p>
    <w:p>
      <w:pPr>
        <w:spacing w:after="80" w:before="0"/>
        <w:jc w:val="both"/>
      </w:pPr>
      <w:r>
        <w:t xml:space="preserve">BV2G a une activité solide, mais son organisation administrative la freine. Le site internet et le SaaS digitalisent tout le parcours, de la demande du client au paiement, pour un investissement remboursé en moins de six mois. La réussite du projet dépendra surtout de la conduite du changement auprès des assistantes et des chauffeurs.</w:t>
      </w:r>
    </w:p>
    <w:p>
      <w:pPr>
        <w:spacing w:after="80" w:before="120"/>
        <w:jc w:val="both"/>
      </w:pPr>
      <w:r>
        <w:rPr>
          <w:i/>
          <w:iCs/>
          <w:color w:val="595959"/>
          <w:sz w:val="15"/>
          <w:szCs w:val="15"/>
        </w:rPr>
        <w:t xml:space="preserve">Sources : Annuaire des entreprises (data.gouv.fr) et Pappers, fiche BV2G Transport ; DGFiP, calendrier de la facturation électronique ; Code des transports, art. L3222-1 (indexation gazole) et L1431-3 (information CO2) ; CNR, indices gazole ; France Num, Baromètre 2025 ; ADEME-Arcep, 2024 ; loi REEN du 15 novembre 2021. Montants : estimations à partir des prix moyens du marché.</w:t>
      </w:r>
    </w:p>
    <w:sectPr>
      <w:footerReference w:type="default" r:id="rId7"/>
      <w:pgSz w:w="11906" w:h="16838" w:orient="portrait"/>
      <w:pgMar w:top="1020" w:right="1020" w:bottom="1020" w:left="102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866"/>
      </w:tabs>
    </w:pPr>
    <w:r>
      <w:rPr>
        <w:color w:val="7F7F7F"/>
        <w:sz w:val="15"/>
        <w:szCs w:val="15"/>
      </w:rPr>
      <w:t xml:space="preserve">SAÉ 5.01 – BV2G Transport – BUT GEA 3</w:t>
    </w:r>
    <w:r>
      <w:rPr>
        <w:sz w:val="15"/>
        <w:szCs w:val="15"/>
      </w:rPr>
      <w:t xml:space="preserve">	</w:t>
    </w:r>
    <w:r>
      <w:rPr>
        <w:color w:val="7F7F7F"/>
        <w:sz w:val="15"/>
        <w:szCs w:val="15"/>
      </w:rPr>
      <w:fldChar w:fldCharType="begin"/>
      <w:instrText xml:space="preserve">PAGE</w:instrText>
      <w:fldChar w:fldCharType="separate"/>
      <w:fldChar w:fldCharType="end"/>
    </w:r>
    <w:r>
      <w:rPr>
        <w:color w:val="7F7F7F"/>
        <w:sz w:val="15"/>
        <w:szCs w:val="15"/>
      </w:rPr>
      <w:t xml:space="preserve"> / </w:t>
    </w:r>
    <w:r>
      <w:rPr>
        <w:color w:val="7F7F7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color w:val="2E75B6"/>
      </w:rPr>
    </w:lvl>
  </w:abstractNum>
  <w:abstractNum w:abstractNumId="3" w15:restartNumberingAfterBreak="0">
    <w:multiLevelType w:val="hybridMultilevel"/>
    <w:lvl w:ilvl="0" w15:tentative="1">
      <w:start w:val="1"/>
      <w:numFmt w:val="bullet"/>
      <w:lvlText w:val="•"/>
      <w:lvlJc w:val="left"/>
      <w:pPr>
        <w:ind w:left="200" w:hanging="1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5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Bdr>
        <w:bottom w:val="single" w:color="2E75B6" w:sz="6" w:space="2"/>
      </w:pBdr>
      <w:spacing w:after="80" w:before="200"/>
    </w:pPr>
    <w:rPr>
      <w:rFonts w:ascii="Calibri" w:cs="Calibri" w:eastAsia="Calibri" w:hAnsi="Calibri"/>
      <w:b/>
      <w:bCs/>
      <w:color w:val="1F3864"/>
      <w:sz w:val="26"/>
      <w:szCs w:val="26"/>
    </w:rPr>
  </w:style>
  <w:style w:type="paragraph" w:styleId="Heading2">
    <w:name w:val="Heading 2"/>
    <w:basedOn w:val="Normal"/>
    <w:next w:val="Normal"/>
    <w:qFormat/>
    <w:pPr>
      <w:keepNext/>
      <w:spacing w:after="60" w:before="100"/>
    </w:pPr>
    <w:rPr>
      <w:rFonts w:ascii="Calibri" w:cs="Calibri" w:eastAsia="Calibri" w:hAnsi="Calibri"/>
      <w:b/>
      <w:bCs/>
      <w:color w:val="2E75B6"/>
      <w:sz w:val="21"/>
      <w:szCs w:val="21"/>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rPr>
      <w:color w:val="7F7F7F"/>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f8adf0b4ead778fdd418f3b022fae85f4b22a6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SAÉ 5.01 – BV2G Transport – Séances 2 et 3</dc:title>
  <dc:creator>Groupe SAÉ 5.01 – BUT GEA 3</dc:creator>
  <cp:lastModifiedBy>Un-named</cp:lastModifiedBy>
  <cp:revision>1</cp:revision>
  <dcterms:created xsi:type="dcterms:W3CDTF">2026-10-23T10:06:01.268Z</dcterms:created>
  <dcterms:modified xsi:type="dcterms:W3CDTF">2026-10-23T10:06:01.268Z</dcterms:modified>
</cp:coreProperties>
</file>

<file path=docProps/custom.xml><?xml version="1.0" encoding="utf-8"?>
<Properties xmlns="http://schemas.openxmlformats.org/officeDocument/2006/custom-properties" xmlns:vt="http://schemas.openxmlformats.org/officeDocument/2006/docPropsVTypes"/>
</file>