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left"/>
      </w:pPr>
      <w:r>
        <w:rPr>
          <w:rFonts w:ascii="Calibri" w:cs="Calibri" w:eastAsia="Calibri" w:hAnsi="Calibri"/>
          <w:b/>
          <w:bCs/>
          <w:color w:val="2E75B6"/>
          <w:spacing w:val="20"/>
          <w:sz w:val="22"/>
          <w:szCs w:val="22"/>
        </w:rPr>
        <w:t xml:space="preserve">SAÉ 5.01 – TRANSFORMATION NUMÉRIQUE DE L'ORGANISATION</w:t>
      </w:r>
    </w:p>
    <w:p>
      <w:pPr>
        <w:spacing w:after="1400" w:before="0"/>
        <w:jc w:val="left"/>
      </w:pPr>
      <w:r>
        <w:rPr>
          <w:rFonts w:ascii="Calibri" w:cs="Calibri" w:eastAsia="Calibri" w:hAnsi="Calibri"/>
          <w:color w:val="595959"/>
          <w:sz w:val="22"/>
          <w:szCs w:val="22"/>
        </w:rPr>
        <w:t xml:space="preserve">BUT Gestion des Entreprises et des Administrations – 3e année</w:t>
      </w:r>
    </w:p>
    <w:p>
      <w:pPr>
        <w:spacing w:after="120" w:before="0"/>
        <w:jc w:val="left"/>
      </w:pPr>
      <w:r>
        <w:rPr>
          <w:rFonts w:ascii="Calibri" w:cs="Calibri" w:eastAsia="Calibri" w:hAnsi="Calibri"/>
          <w:b/>
          <w:bCs/>
          <w:color w:val="1F3864"/>
          <w:sz w:val="64"/>
          <w:szCs w:val="64"/>
        </w:rPr>
        <w:t xml:space="preserve">BV2G Transport</w:t>
      </w:r>
    </w:p>
    <w:p>
      <w:pPr>
        <w:pBdr>
          <w:bottom w:val="single" w:color="1F3864" w:sz="12" w:space="12"/>
        </w:pBdr>
        <w:spacing w:after="240" w:before="0"/>
        <w:jc w:val="left"/>
      </w:pPr>
      <w:r>
        <w:rPr>
          <w:rFonts w:ascii="Calibri" w:cs="Calibri" w:eastAsia="Calibri" w:hAnsi="Calibri"/>
          <w:color w:val="2E75B6"/>
          <w:sz w:val="32"/>
          <w:szCs w:val="32"/>
        </w:rPr>
        <w:t xml:space="preserve">Étude de l'organisation et planification stratégique du projet de transformation numérique</w:t>
      </w:r>
    </w:p>
    <w:p>
      <w:pPr>
        <w:spacing w:after="80" w:before="200"/>
        <w:jc w:val="left"/>
      </w:pPr>
      <w:r>
        <w:rPr>
          <w:rFonts w:ascii="Calibri" w:cs="Calibri" w:eastAsia="Calibri" w:hAnsi="Calibri"/>
          <w:b/>
          <w:bCs/>
          <w:color w:val="1F3864"/>
          <w:sz w:val="24"/>
          <w:szCs w:val="24"/>
        </w:rPr>
        <w:t xml:space="preserve">Séances 2 et 3</w:t>
      </w:r>
    </w:p>
    <w:p>
      <w:pPr>
        <w:spacing w:after="2400" w:before="0"/>
        <w:jc w:val="left"/>
      </w:pPr>
      <w:r>
        <w:rPr>
          <w:rFonts w:ascii="Calibri" w:cs="Calibri" w:eastAsia="Calibri" w:hAnsi="Calibri"/>
          <w:i/>
          <w:iCs/>
          <w:color w:val="404040"/>
          <w:sz w:val="24"/>
          <w:szCs w:val="24"/>
        </w:rPr>
        <w:t xml:space="preserve">Projet : création d'un site internet et déploiement d'un SaaS de gestion administrative</w:t>
      </w:r>
    </w:p>
    <w:p>
      <w:pPr>
        <w:spacing w:after="80" w:before="0"/>
        <w:jc w:val="left"/>
      </w:pPr>
      <w:r>
        <w:rPr>
          <w:rFonts w:ascii="Calibri" w:cs="Calibri" w:eastAsia="Calibri" w:hAnsi="Calibri"/>
          <w:b/>
          <w:bCs/>
          <w:color w:val="1F3864"/>
          <w:sz w:val="22"/>
          <w:szCs w:val="22"/>
        </w:rPr>
        <w:t xml:space="preserve">Groupe</w:t>
      </w:r>
    </w:p>
    <w:p>
      <w:pPr>
        <w:spacing w:after="80" w:before="0"/>
        <w:jc w:val="left"/>
      </w:pPr>
      <w:r>
        <w:rPr>
          <w:rFonts w:ascii="Calibri" w:cs="Calibri" w:eastAsia="Calibri" w:hAnsi="Calibri"/>
          <w:color w:val="262626"/>
          <w:sz w:val="22"/>
          <w:szCs w:val="22"/>
        </w:rPr>
        <w:t xml:space="preserve">Raphaël Mercy · Mathis Guettaf · Gabriel Schappler</w:t>
      </w:r>
    </w:p>
    <w:p>
      <w:pPr>
        <w:spacing w:after="600" w:before="0"/>
        <w:jc w:val="left"/>
      </w:pPr>
      <w:r>
        <w:rPr>
          <w:rFonts w:ascii="Calibri" w:cs="Calibri" w:eastAsia="Calibri" w:hAnsi="Calibri"/>
          <w:color w:val="262626"/>
          <w:sz w:val="22"/>
          <w:szCs w:val="22"/>
        </w:rPr>
        <w:t xml:space="preserve">Fernando Dos Reis · Maël Martins · Sacha Brustolin</w:t>
      </w:r>
    </w:p>
    <w:p>
      <w:pPr>
        <w:spacing w:after="80" w:before="0"/>
        <w:jc w:val="left"/>
      </w:pPr>
      <w:r>
        <w:rPr>
          <w:rFonts w:ascii="Calibri" w:cs="Calibri" w:eastAsia="Calibri" w:hAnsi="Calibri"/>
          <w:color w:val="595959"/>
          <w:sz w:val="22"/>
          <w:szCs w:val="22"/>
        </w:rPr>
        <w:t xml:space="preserve">IUT de Valence – Année universitaire 2026-2027</w:t>
      </w:r>
    </w:p>
    <w:p>
      <w:pPr>
        <w:spacing w:after="80" w:before="0"/>
        <w:jc w:val="left"/>
      </w:pPr>
      <w:r>
        <w:rPr>
          <w:rFonts w:ascii="Calibri" w:cs="Calibri" w:eastAsia="Calibri" w:hAnsi="Calibri"/>
          <w:color w:val="595959"/>
          <w:sz w:val="22"/>
          <w:szCs w:val="22"/>
        </w:rPr>
        <w:t xml:space="preserve">Octobre 2026</w:t>
      </w:r>
    </w:p>
    <w:p>
      <w:pPr>
        <w:pageBreakBefore/>
        <w:spacing w:after="240"/>
      </w:pPr>
      <w:r>
        <w:rPr>
          <w:b/>
          <w:bCs/>
          <w:color w:val="1F3864"/>
          <w:sz w:val="32"/>
          <w:szCs w:val="32"/>
        </w:rPr>
        <w:t xml:space="preserve">Sommaire</w:t>
      </w:r>
    </w:p>
    <w:sdt>
      <w:sdtPr>
        <w:alias w:val="Sommaire"/>
      </w:sdtPr>
      <w:sdtContent>
        <w:p>
          <w:pPr>
            <w:pStyle w:val="TOC1"/>
            <w:tabs>
              <w:tab w:val="right" w:leader="dot" w:pos="9638"/>
            </w:tabs>
          </w:pPr>
          <w:r>
            <w:fldChar w:fldCharType="begin"/>
          </w:r>
          <w:r>
            <w:instrText xml:space="preserve"> TOC \o "1-2" \h \z \u </w:instrText>
          </w:r>
          <w:r>
            <w:fldChar w:fldCharType="separate"/>
          </w:r>
          <w:r>
            <w:t xml:space="preserve">Introduction</w:t>
          </w:r>
          <w:r>
            <w:tab/>
          </w:r>
          <w:r>
            <w:t>3</w:t>
          </w:r>
        </w:p>
        <w:p>
          <w:pPr>
            <w:pStyle w:val="TOC1"/>
            <w:tabs>
              <w:tab w:val="right" w:leader="dot" w:pos="9638"/>
            </w:tabs>
          </w:pPr>
          <w:r>
            <w:t xml:space="preserve">1. Analyse approfondie de l'organisation</w:t>
          </w:r>
          <w:r>
            <w:tab/>
          </w:r>
          <w:r>
            <w:t>4</w:t>
          </w:r>
        </w:p>
        <w:p>
          <w:pPr>
            <w:pStyle w:val="TOC2"/>
            <w:tabs>
              <w:tab w:val="right" w:leader="dot" w:pos="9638"/>
            </w:tabs>
          </w:pPr>
          <w:r>
            <w:t xml:space="preserve">1.1. Présentation de BV2G Transport</w:t>
          </w:r>
          <w:r>
            <w:tab/>
          </w:r>
          <w:r>
            <w:t>4</w:t>
          </w:r>
        </w:p>
        <w:p>
          <w:pPr>
            <w:pStyle w:val="TOC2"/>
            <w:tabs>
              <w:tab w:val="right" w:leader="dot" w:pos="9638"/>
            </w:tabs>
          </w:pPr>
          <w:r>
            <w:t xml:space="preserve">1.2. Analyse de l'environnement (PESTEL)</w:t>
          </w:r>
          <w:r>
            <w:tab/>
          </w:r>
          <w:r>
            <w:t>4</w:t>
          </w:r>
        </w:p>
        <w:p>
          <w:pPr>
            <w:pStyle w:val="TOC2"/>
            <w:tabs>
              <w:tab w:val="right" w:leader="dot" w:pos="9638"/>
            </w:tabs>
          </w:pPr>
          <w:r>
            <w:t xml:space="preserve">1.3. Les ressources de l'organisation</w:t>
          </w:r>
          <w:r>
            <w:tab/>
          </w:r>
          <w:r>
            <w:t>5</w:t>
          </w:r>
        </w:p>
        <w:p>
          <w:pPr>
            <w:pStyle w:val="TOC2"/>
            <w:tabs>
              <w:tab w:val="right" w:leader="dot" w:pos="9638"/>
            </w:tabs>
          </w:pPr>
          <w:r>
            <w:t xml:space="preserve">1.4. Les limites de l'organisation</w:t>
          </w:r>
          <w:r>
            <w:tab/>
          </w:r>
          <w:r>
            <w:t>6</w:t>
          </w:r>
        </w:p>
        <w:p>
          <w:pPr>
            <w:pStyle w:val="TOC2"/>
            <w:tabs>
              <w:tab w:val="right" w:leader="dot" w:pos="9638"/>
            </w:tabs>
          </w:pPr>
          <w:r>
            <w:t xml:space="preserve">1.5. Les besoins en transformation numérique</w:t>
          </w:r>
          <w:r>
            <w:tab/>
          </w:r>
          <w:r>
            <w:t>6</w:t>
          </w:r>
        </w:p>
        <w:p>
          <w:pPr>
            <w:pStyle w:val="TOC1"/>
            <w:tabs>
              <w:tab w:val="right" w:leader="dot" w:pos="9638"/>
            </w:tabs>
          </w:pPr>
          <w:r>
            <w:t xml:space="preserve">2. Le processus de l'entreprise : première ébauche</w:t>
          </w:r>
          <w:r>
            <w:tab/>
          </w:r>
          <w:r>
            <w:t>8</w:t>
          </w:r>
        </w:p>
        <w:p>
          <w:pPr>
            <w:pStyle w:val="TOC2"/>
            <w:tabs>
              <w:tab w:val="right" w:leader="dot" w:pos="9638"/>
            </w:tabs>
          </w:pPr>
          <w:r>
            <w:t xml:space="preserve">2.1. Le processus actuel</w:t>
          </w:r>
          <w:r>
            <w:tab/>
          </w:r>
          <w:r>
            <w:t>8</w:t>
          </w:r>
        </w:p>
        <w:p>
          <w:pPr>
            <w:pStyle w:val="TOC2"/>
            <w:tabs>
              <w:tab w:val="right" w:leader="dot" w:pos="9638"/>
            </w:tabs>
          </w:pPr>
          <w:r>
            <w:t xml:space="preserve">2.2. Analyse du processus actuel</w:t>
          </w:r>
          <w:r>
            <w:tab/>
          </w:r>
          <w:r>
            <w:t>9</w:t>
          </w:r>
        </w:p>
        <w:p>
          <w:pPr>
            <w:pStyle w:val="TOC2"/>
            <w:tabs>
              <w:tab w:val="right" w:leader="dot" w:pos="9638"/>
            </w:tabs>
          </w:pPr>
          <w:r>
            <w:t xml:space="preserve">2.3. Le processus cible</w:t>
          </w:r>
          <w:r>
            <w:tab/>
          </w:r>
          <w:r>
            <w:t>10</w:t>
          </w:r>
        </w:p>
        <w:p>
          <w:pPr>
            <w:pStyle w:val="TOC1"/>
            <w:tabs>
              <w:tab w:val="right" w:leader="dot" w:pos="9638"/>
            </w:tabs>
          </w:pPr>
          <w:r>
            <w:t xml:space="preserve">3. État des lieux de l'équipement informatique</w:t>
          </w:r>
          <w:r>
            <w:tab/>
          </w:r>
          <w:r>
            <w:t>12</w:t>
          </w:r>
        </w:p>
        <w:p>
          <w:pPr>
            <w:pStyle w:val="TOC2"/>
            <w:tabs>
              <w:tab w:val="right" w:leader="dot" w:pos="9638"/>
            </w:tabs>
          </w:pPr>
          <w:r>
            <w:t xml:space="preserve">3.1. Nombre d'utilisateurs</w:t>
          </w:r>
          <w:r>
            <w:tab/>
          </w:r>
          <w:r>
            <w:t>12</w:t>
          </w:r>
        </w:p>
        <w:p>
          <w:pPr>
            <w:pStyle w:val="TOC2"/>
            <w:tabs>
              <w:tab w:val="right" w:leader="dot" w:pos="9638"/>
            </w:tabs>
          </w:pPr>
          <w:r>
            <w:t xml:space="preserve">3.2. Parc machines, serveurs, réseau et imprimantes</w:t>
          </w:r>
          <w:r>
            <w:tab/>
          </w:r>
          <w:r>
            <w:t>12</w:t>
          </w:r>
        </w:p>
        <w:p>
          <w:pPr>
            <w:pStyle w:val="TOC2"/>
            <w:tabs>
              <w:tab w:val="right" w:leader="dot" w:pos="9638"/>
            </w:tabs>
          </w:pPr>
          <w:r>
            <w:t xml:space="preserve">3.3. Logiciels, progiciels et solutions cloud</w:t>
          </w:r>
          <w:r>
            <w:tab/>
          </w:r>
          <w:r>
            <w:t>13</w:t>
          </w:r>
        </w:p>
        <w:p>
          <w:pPr>
            <w:pStyle w:val="TOC2"/>
            <w:tabs>
              <w:tab w:val="right" w:leader="dot" w:pos="9638"/>
            </w:tabs>
          </w:pPr>
          <w:r>
            <w:t xml:space="preserve">3.4. Procédures de sauvegarde et de sécurité</w:t>
          </w:r>
          <w:r>
            <w:tab/>
          </w:r>
          <w:r>
            <w:t>13</w:t>
          </w:r>
        </w:p>
        <w:p>
          <w:pPr>
            <w:pStyle w:val="TOC2"/>
            <w:tabs>
              <w:tab w:val="right" w:leader="dot" w:pos="9638"/>
            </w:tabs>
          </w:pPr>
          <w:r>
            <w:t xml:space="preserve">3.5. Ressources humaines dédiées à l'informatique</w:t>
          </w:r>
          <w:r>
            <w:tab/>
          </w:r>
          <w:r>
            <w:t>14</w:t>
          </w:r>
        </w:p>
        <w:p>
          <w:pPr>
            <w:pStyle w:val="TOC2"/>
            <w:tabs>
              <w:tab w:val="right" w:leader="dot" w:pos="9638"/>
            </w:tabs>
          </w:pPr>
          <w:r>
            <w:t xml:space="preserve">3.6. Analyse SWOT</w:t>
          </w:r>
          <w:r>
            <w:tab/>
          </w:r>
          <w:r>
            <w:t>15</w:t>
          </w:r>
        </w:p>
        <w:p>
          <w:pPr>
            <w:pStyle w:val="TOC2"/>
            <w:tabs>
              <w:tab w:val="right" w:leader="dot" w:pos="9638"/>
            </w:tabs>
          </w:pPr>
          <w:r>
            <w:t xml:space="preserve">3.7. Risques encourus dans la situation actuelle</w:t>
          </w:r>
          <w:r>
            <w:tab/>
          </w:r>
          <w:r>
            <w:t>16</w:t>
          </w:r>
        </w:p>
        <w:p>
          <w:pPr>
            <w:pStyle w:val="TOC1"/>
            <w:tabs>
              <w:tab w:val="right" w:leader="dot" w:pos="9638"/>
            </w:tabs>
          </w:pPr>
          <w:r>
            <w:t xml:space="preserve">4. Plan stratégique du projet de transformation numérique</w:t>
          </w:r>
          <w:r>
            <w:tab/>
          </w:r>
          <w:r>
            <w:t>17</w:t>
          </w:r>
        </w:p>
        <w:p>
          <w:pPr>
            <w:pStyle w:val="TOC2"/>
            <w:tabs>
              <w:tab w:val="right" w:leader="dot" w:pos="9638"/>
            </w:tabs>
          </w:pPr>
          <w:r>
            <w:t xml:space="preserve">4.1. Présentation du projet</w:t>
          </w:r>
          <w:r>
            <w:tab/>
          </w:r>
          <w:r>
            <w:t>17</w:t>
          </w:r>
        </w:p>
        <w:p>
          <w:pPr>
            <w:pStyle w:val="TOC2"/>
            <w:tabs>
              <w:tab w:val="right" w:leader="dot" w:pos="9638"/>
            </w:tabs>
          </w:pPr>
          <w:r>
            <w:t xml:space="preserve">4.2. Les objectifs</w:t>
          </w:r>
          <w:r>
            <w:tab/>
          </w:r>
          <w:r>
            <w:t>18</w:t>
          </w:r>
        </w:p>
        <w:p>
          <w:pPr>
            <w:pStyle w:val="TOC2"/>
            <w:tabs>
              <w:tab w:val="right" w:leader="dot" w:pos="9638"/>
            </w:tabs>
          </w:pPr>
          <w:r>
            <w:t xml:space="preserve">4.3. Les étapes clés et les délais</w:t>
          </w:r>
          <w:r>
            <w:tab/>
          </w:r>
          <w:r>
            <w:t>18</w:t>
          </w:r>
        </w:p>
        <w:p>
          <w:pPr>
            <w:pStyle w:val="TOC2"/>
            <w:tabs>
              <w:tab w:val="right" w:leader="dot" w:pos="9638"/>
            </w:tabs>
          </w:pPr>
          <w:r>
            <w:t xml:space="preserve">4.4. Les ressources nécessaires</w:t>
          </w:r>
          <w:r>
            <w:tab/>
          </w:r>
          <w:r>
            <w:t>20</w:t>
          </w:r>
        </w:p>
        <w:p>
          <w:pPr>
            <w:pStyle w:val="TOC2"/>
            <w:tabs>
              <w:tab w:val="right" w:leader="dot" w:pos="9638"/>
            </w:tabs>
          </w:pPr>
          <w:r>
            <w:t xml:space="preserve">4.5. Gains attendus et retour sur investissement</w:t>
          </w:r>
          <w:r>
            <w:tab/>
          </w:r>
          <w:r>
            <w:t>21</w:t>
          </w:r>
        </w:p>
        <w:p>
          <w:pPr>
            <w:pStyle w:val="TOC2"/>
            <w:tabs>
              <w:tab w:val="right" w:leader="dot" w:pos="9638"/>
            </w:tabs>
          </w:pPr>
          <w:r>
            <w:t xml:space="preserve">4.6. Le pilotage du projet</w:t>
          </w:r>
          <w:r>
            <w:tab/>
          </w:r>
          <w:r>
            <w:t>22</w:t>
          </w:r>
        </w:p>
        <w:p>
          <w:pPr>
            <w:pStyle w:val="TOC1"/>
            <w:tabs>
              <w:tab w:val="right" w:leader="dot" w:pos="9638"/>
            </w:tabs>
          </w:pPr>
          <w:r>
            <w:t xml:space="preserve">5. Les parties prenantes du projet</w:t>
          </w:r>
          <w:r>
            <w:tab/>
          </w:r>
          <w:r>
            <w:t>23</w:t>
          </w:r>
        </w:p>
        <w:p>
          <w:pPr>
            <w:pStyle w:val="TOC2"/>
            <w:tabs>
              <w:tab w:val="right" w:leader="dot" w:pos="9638"/>
            </w:tabs>
          </w:pPr>
          <w:r>
            <w:t xml:space="preserve">5.1. Identification des parties prenantes</w:t>
          </w:r>
          <w:r>
            <w:tab/>
          </w:r>
          <w:r>
            <w:t>23</w:t>
          </w:r>
        </w:p>
        <w:p>
          <w:pPr>
            <w:pStyle w:val="TOC2"/>
            <w:tabs>
              <w:tab w:val="right" w:leader="dot" w:pos="9638"/>
            </w:tabs>
          </w:pPr>
          <w:r>
            <w:t xml:space="preserve">5.2. Intérêts, attentes et préoccupations</w:t>
          </w:r>
          <w:r>
            <w:tab/>
          </w:r>
          <w:r>
            <w:t>23</w:t>
          </w:r>
        </w:p>
        <w:p>
          <w:pPr>
            <w:pStyle w:val="TOC2"/>
            <w:tabs>
              <w:tab w:val="right" w:leader="dot" w:pos="9638"/>
            </w:tabs>
          </w:pPr>
          <w:r>
            <w:t xml:space="preserve">5.3. Matrice pouvoir / intérêt</w:t>
          </w:r>
          <w:r>
            <w:tab/>
          </w:r>
          <w:r>
            <w:t>24</w:t>
          </w:r>
        </w:p>
        <w:p>
          <w:pPr>
            <w:pStyle w:val="TOC1"/>
            <w:tabs>
              <w:tab w:val="right" w:leader="dot" w:pos="9638"/>
            </w:tabs>
          </w:pPr>
          <w:r>
            <w:t xml:space="preserve">6. Stratégies de communication et d'engagement</w:t>
          </w:r>
          <w:r>
            <w:tab/>
          </w:r>
          <w:r>
            <w:t>25</w:t>
          </w:r>
        </w:p>
        <w:p>
          <w:pPr>
            <w:pStyle w:val="TOC2"/>
            <w:tabs>
              <w:tab w:val="right" w:leader="dot" w:pos="9638"/>
            </w:tabs>
          </w:pPr>
          <w:r>
            <w:t xml:space="preserve">6.1. Les leviers de l'économie numérique mobilisés</w:t>
          </w:r>
          <w:r>
            <w:tab/>
          </w:r>
          <w:r>
            <w:t>25</w:t>
          </w:r>
        </w:p>
        <w:p>
          <w:pPr>
            <w:pStyle w:val="TOC2"/>
            <w:tabs>
              <w:tab w:val="right" w:leader="dot" w:pos="9638"/>
            </w:tabs>
          </w:pPr>
          <w:r>
            <w:t xml:space="preserve">6.2. Plan de communication par partie prenante</w:t>
          </w:r>
          <w:r>
            <w:tab/>
          </w:r>
          <w:r>
            <w:t>25</w:t>
          </w:r>
        </w:p>
        <w:p>
          <w:pPr>
            <w:pStyle w:val="TOC2"/>
            <w:tabs>
              <w:tab w:val="right" w:leader="dot" w:pos="9638"/>
            </w:tabs>
          </w:pPr>
          <w:r>
            <w:t xml:space="preserve">6.3. Calendrier de communication</w:t>
          </w:r>
          <w:r>
            <w:tab/>
          </w:r>
          <w:r>
            <w:t>26</w:t>
          </w:r>
        </w:p>
        <w:p>
          <w:pPr>
            <w:pStyle w:val="TOC1"/>
            <w:tabs>
              <w:tab w:val="right" w:leader="dot" w:pos="9638"/>
            </w:tabs>
          </w:pPr>
          <w:r>
            <w:t xml:space="preserve">7. La dimension RSE du projet</w:t>
          </w:r>
          <w:r>
            <w:tab/>
          </w:r>
          <w:r>
            <w:t>27</w:t>
          </w:r>
        </w:p>
        <w:p>
          <w:pPr>
            <w:pStyle w:val="TOC2"/>
            <w:tabs>
              <w:tab w:val="right" w:leader="dot" w:pos="9638"/>
            </w:tabs>
          </w:pPr>
          <w:r>
            <w:t xml:space="preserve">7.1. Pilier environnemental</w:t>
          </w:r>
          <w:r>
            <w:tab/>
          </w:r>
          <w:r>
            <w:t>27</w:t>
          </w:r>
        </w:p>
        <w:p>
          <w:pPr>
            <w:pStyle w:val="TOC2"/>
            <w:tabs>
              <w:tab w:val="right" w:leader="dot" w:pos="9638"/>
            </w:tabs>
          </w:pPr>
          <w:r>
            <w:t xml:space="preserve">7.2. Pilier social</w:t>
          </w:r>
          <w:r>
            <w:tab/>
          </w:r>
          <w:r>
            <w:t>27</w:t>
          </w:r>
        </w:p>
        <w:p>
          <w:pPr>
            <w:pStyle w:val="TOC2"/>
            <w:tabs>
              <w:tab w:val="right" w:leader="dot" w:pos="9638"/>
            </w:tabs>
          </w:pPr>
          <w:r>
            <w:t xml:space="preserve">7.3. Pilier économique et gouvernance</w:t>
          </w:r>
          <w:r>
            <w:tab/>
          </w:r>
          <w:r>
            <w:t>27</w:t>
          </w:r>
        </w:p>
        <w:p>
          <w:pPr>
            <w:pStyle w:val="TOC2"/>
            <w:tabs>
              <w:tab w:val="right" w:leader="dot" w:pos="9638"/>
            </w:tabs>
          </w:pPr>
          <w:r>
            <w:t xml:space="preserve">7.4. Indicateurs RSE</w:t>
          </w:r>
          <w:r>
            <w:tab/>
          </w:r>
          <w:r>
            <w:t>28</w:t>
          </w:r>
        </w:p>
        <w:p>
          <w:pPr>
            <w:pStyle w:val="TOC1"/>
            <w:tabs>
              <w:tab w:val="right" w:leader="dot" w:pos="9638"/>
            </w:tabs>
          </w:pPr>
          <w:r>
            <w:t xml:space="preserve">8. Rapport détaillé : opportunités et défis du projet</w:t>
          </w:r>
          <w:r>
            <w:tab/>
          </w:r>
          <w:r>
            <w:t>29</w:t>
          </w:r>
        </w:p>
        <w:p>
          <w:pPr>
            <w:pStyle w:val="TOC2"/>
            <w:tabs>
              <w:tab w:val="right" w:leader="dot" w:pos="9638"/>
            </w:tabs>
          </w:pPr>
          <w:r>
            <w:t xml:space="preserve">8.1. Contexte : une entreprise rentable, freinée par son organisation</w:t>
          </w:r>
          <w:r>
            <w:tab/>
          </w:r>
          <w:r>
            <w:t>29</w:t>
          </w:r>
        </w:p>
        <w:p>
          <w:pPr>
            <w:pStyle w:val="TOC2"/>
            <w:tabs>
              <w:tab w:val="right" w:leader="dot" w:pos="9638"/>
            </w:tabs>
          </w:pPr>
          <w:r>
            <w:t xml:space="preserve">8.2. Les opportunités</w:t>
          </w:r>
          <w:r>
            <w:tab/>
          </w:r>
          <w:r>
            <w:t>29</w:t>
          </w:r>
        </w:p>
        <w:p>
          <w:pPr>
            <w:pStyle w:val="TOC2"/>
            <w:tabs>
              <w:tab w:val="right" w:leader="dot" w:pos="9638"/>
            </w:tabs>
          </w:pPr>
          <w:r>
            <w:t xml:space="preserve">8.3. Les défis</w:t>
          </w:r>
          <w:r>
            <w:tab/>
          </w:r>
          <w:r>
            <w:t>30</w:t>
          </w:r>
        </w:p>
        <w:p>
          <w:pPr>
            <w:pStyle w:val="TOC2"/>
            <w:tabs>
              <w:tab w:val="right" w:leader="dot" w:pos="9638"/>
            </w:tabs>
          </w:pPr>
          <w:r>
            <w:t xml:space="preserve">8.4. Synthèse</w:t>
          </w:r>
          <w:r>
            <w:tab/>
          </w:r>
          <w:r>
            <w:t>31</w:t>
          </w:r>
        </w:p>
        <w:p>
          <w:pPr>
            <w:pStyle w:val="TOC2"/>
            <w:tabs>
              <w:tab w:val="right" w:leader="dot" w:pos="9638"/>
            </w:tabs>
          </w:pPr>
          <w:r>
            <w:t xml:space="preserve">8.5. Recommandations et conditions de réussite</w:t>
          </w:r>
          <w:r>
            <w:tab/>
          </w:r>
          <w:r>
            <w:t>32</w:t>
          </w:r>
        </w:p>
        <w:p>
          <w:pPr>
            <w:pStyle w:val="TOC2"/>
            <w:tabs>
              <w:tab w:val="right" w:leader="dot" w:pos="9638"/>
            </w:tabs>
          </w:pPr>
          <w:r>
            <w:t xml:space="preserve">8.6. Conclusion du rapport</w:t>
          </w:r>
          <w:r>
            <w:tab/>
          </w:r>
          <w:r>
            <w:t>32</w:t>
          </w:r>
        </w:p>
        <w:p>
          <w:pPr>
            <w:pStyle w:val="TOC1"/>
            <w:tabs>
              <w:tab w:val="right" w:leader="dot" w:pos="9638"/>
            </w:tabs>
          </w:pPr>
          <w:r>
            <w:t xml:space="preserve">Conclusion</w:t>
          </w:r>
          <w:r>
            <w:tab/>
          </w:r>
          <w:r>
            <w:t>32</w:t>
          </w:r>
        </w:p>
        <w:p>
          <w:pPr>
            <w:pStyle w:val="TOC1"/>
            <w:tabs>
              <w:tab w:val="right" w:leader="dot" w:pos="9638"/>
            </w:tabs>
          </w:pPr>
          <w:r>
            <w:t xml:space="preserve">Sources</w:t>
          </w:r>
          <w:r>
            <w:tab/>
          </w:r>
          <w:r>
            <w:t>34</w:t>
          </w:r>
          <w:r>
            <w:fldChar w:fldCharType="end"/>
          </w:r>
        </w:p>
      </w:sdtContent>
    </w:sdt>
    <w:p>
      <w:pPr>
        <w:pStyle w:val="Heading1"/>
        <w:pageBreakBefore/>
      </w:pPr>
      <w:r>
        <w:t xml:space="preserve">Introduction</w:t>
      </w:r>
    </w:p>
    <w:p>
      <w:pPr>
        <w:spacing w:after="120" w:before="0"/>
        <w:jc w:val="both"/>
      </w:pPr>
      <w:r>
        <w:t xml:space="preserve">Dans la première partie de ce travail, nous avons défini la transformation numérique, ses opportunités, ses défis et ses enjeux RSE. Cette seconde partie, qui correspond aux séances 2 et 3, applique ces notions à l'organisation que nous avons choisie : </w:t>
      </w:r>
      <w:r>
        <w:rPr>
          <w:b/>
          <w:bCs/>
        </w:rPr>
        <w:t xml:space="preserve">BV2G Transport</w:t>
      </w:r>
      <w:r>
        <w:t xml:space="preserve">, PME de transport routier de marchandises installée à Châteauneuf-du-Rhône, dans la Drôme.</w:t>
      </w:r>
    </w:p>
    <w:p>
      <w:pPr>
        <w:spacing w:after="120" w:before="0"/>
        <w:jc w:val="both"/>
      </w:pPr>
      <w:r>
        <w:t xml:space="preserve">Au départ centré sur la mise à jour du parc informatique, notre projet s'est élargi au fil de l'étude. Le principal frein de BV2G n'est pas l'âge de son matériel, mais l'absence d'outils numériques adaptés à son activité. L'essentiel de l'information de l'entreprise (plannings, lettres de voiture, indexation gazole, facturation, relances) circule sur papier ou dans des fichiers Excel, et repose entièrement sur deux assistantes de direction. L'entreprise n'a pas de site internet et sa messagerie a déjà été piratée.</w:t>
      </w:r>
    </w:p>
    <w:p>
      <w:pPr>
        <w:keepNext/>
        <w:spacing w:after="120" w:before="0"/>
        <w:jc w:val="both"/>
      </w:pPr>
      <w:r>
        <w:t xml:space="preserve">Nous proposons donc une transformation articulée autour de deux leviers complémentaires :</w:t>
      </w:r>
    </w:p>
    <w:p>
      <w:pPr>
        <w:pStyle w:val="ListParagraph"/>
        <w:numPr>
          <w:ilvl w:val="0"/>
          <w:numId w:val="2"/>
        </w:numPr>
        <w:spacing w:after="60"/>
        <w:jc w:val="both"/>
      </w:pPr>
      <w:r>
        <w:rPr>
          <w:b/>
          <w:bCs/>
        </w:rPr>
        <w:t xml:space="preserve">la création d'un site internet</w:t>
      </w:r>
      <w:r>
        <w:t xml:space="preserve">, qui donne à l'entreprise une vitrine, un canal de demande de devis et des adresses e-mail professionnelles sécurisées ;</w:t>
      </w:r>
    </w:p>
    <w:p>
      <w:pPr>
        <w:pStyle w:val="ListParagraph"/>
        <w:numPr>
          <w:ilvl w:val="0"/>
          <w:numId w:val="2"/>
        </w:numPr>
        <w:spacing w:after="60"/>
        <w:jc w:val="both"/>
      </w:pPr>
      <w:r>
        <w:rPr>
          <w:b/>
          <w:bCs/>
        </w:rPr>
        <w:t xml:space="preserve">le déploiement d'un SaaS de gestion</w:t>
      </w:r>
      <w:r>
        <w:t xml:space="preserve">, qui digitalise le travail administratif : planning consultable par les chauffeurs, lettres de voiture numérisées, indexation gazole automatique, pré-facturation par intelligence artificielle, relances clients automatiques et tableau de suivi des factures.</w:t>
      </w:r>
    </w:p>
    <w:p>
      <w:pPr>
        <w:spacing w:after="120" w:before="120"/>
        <w:jc w:val="both"/>
      </w:pPr>
      <w:r>
        <w:t xml:space="preserve">En libérant les assistantes des tâches répétitives, ce projet doit permettre, à terme, d'assurer le travail administratif avec </w:t>
      </w:r>
      <w:r>
        <w:rPr>
          <w:b/>
          <w:bCs/>
        </w:rPr>
        <w:t xml:space="preserve">une seule assistante de direction</w:t>
      </w:r>
      <w:r>
        <w:t xml:space="preserve">, recentrée sur des missions à plus forte valeur ajoutée.</w:t>
      </w:r>
    </w:p>
    <w:p>
      <w:pPr>
        <w:spacing w:after="120" w:before="0"/>
        <w:jc w:val="both"/>
      </w:pPr>
      <w:r>
        <w:t xml:space="preserve">Le document suit l'ordre des consignes : analyse de l'organisation, première ébauche du processus, état des lieux informatique, plan stratégique, parties prenantes, stratégies de communication, dimension RSE, puis rapport détaillé sur les opportunités et les défis du projet.</w:t>
      </w:r>
    </w:p>
    <w:p>
      <w:pPr>
        <w:pStyle w:val="Heading1"/>
        <w:pageBreakBefore/>
      </w:pPr>
      <w:r>
        <w:t xml:space="preserve">1. Analyse approfondie de l'organisation</w:t>
      </w:r>
    </w:p>
    <w:p>
      <w:pPr>
        <w:pStyle w:val="Heading2"/>
      </w:pPr>
      <w:r>
        <w:t xml:space="preserve">1.1. Présentation de BV2G Transport</w:t>
      </w:r>
    </w:p>
    <w:p>
      <w:pPr>
        <w:spacing w:after="120" w:before="0"/>
        <w:jc w:val="both"/>
      </w:pPr>
      <w:r>
        <w:t xml:space="preserve">BV2G Transport est une société à responsabilité limitée (SARL) créée en mai 2021. Son siège est installé depuis février 2024 dans la zone d'activités de l'Étang, à Châteauneuf-du-Rhône, au cœur du couloir rhodanien, à proximité immédiate de l'autoroute A7 et de Montélimar. Cette implantation place l'entreprise sur l'un des axes de fret les plus fréquentés de France. Elle réalise des prestations de transport routier de marchandises pour une clientèle de professionnels.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Raison sociale</w:t>
            </w:r>
          </w:p>
        </w:tc>
        <w:tc>
          <w:tcPr>
            <w:tcW w:type="dxa" w:w="68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BV2G Transport</w:t>
            </w:r>
          </w:p>
        </w:tc>
      </w:tr>
      <w:tr>
        <w:trPr>
          <w:cantSplit/>
        </w:trPr>
        <w:tc>
          <w:tcPr>
            <w:tcW w:type="dxa" w:w="28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Forme juridique</w:t>
            </w:r>
          </w:p>
        </w:tc>
        <w:tc>
          <w:tcPr>
            <w:tcW w:type="dxa" w:w="68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SARL au capital de 30 000 €</w:t>
            </w:r>
          </w:p>
        </w:tc>
      </w:tr>
      <w:tr>
        <w:trPr>
          <w:cantSplit/>
        </w:trPr>
        <w:tc>
          <w:tcPr>
            <w:tcW w:type="dxa" w:w="28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SIREN</w:t>
            </w:r>
          </w:p>
        </w:tc>
        <w:tc>
          <w:tcPr>
            <w:tcW w:type="dxa" w:w="68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899 253 058</w:t>
            </w:r>
          </w:p>
        </w:tc>
      </w:tr>
      <w:tr>
        <w:trPr>
          <w:cantSplit/>
        </w:trPr>
        <w:tc>
          <w:tcPr>
            <w:tcW w:type="dxa" w:w="28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Date de création</w:t>
            </w:r>
          </w:p>
        </w:tc>
        <w:tc>
          <w:tcPr>
            <w:tcW w:type="dxa" w:w="68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10 mai 2021</w:t>
            </w:r>
          </w:p>
        </w:tc>
      </w:tr>
      <w:tr>
        <w:trPr>
          <w:cantSplit/>
        </w:trPr>
        <w:tc>
          <w:tcPr>
            <w:tcW w:type="dxa" w:w="28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Siège social</w:t>
            </w:r>
          </w:p>
        </w:tc>
        <w:tc>
          <w:tcPr>
            <w:tcW w:type="dxa" w:w="68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ZA de l'Étang, 123 rue Marie Curie, 26780 Châteauneuf-du-Rhône (Drôme)</w:t>
            </w:r>
          </w:p>
        </w:tc>
      </w:tr>
      <w:tr>
        <w:trPr>
          <w:cantSplit/>
        </w:trPr>
        <w:tc>
          <w:tcPr>
            <w:tcW w:type="dxa" w:w="28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Activité (code NAF)</w:t>
            </w:r>
          </w:p>
        </w:tc>
        <w:tc>
          <w:tcPr>
            <w:tcW w:type="dxa" w:w="68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Transports routiers de fret interurbains (49.41A)</w:t>
            </w:r>
          </w:p>
        </w:tc>
      </w:tr>
      <w:tr>
        <w:trPr>
          <w:cantSplit/>
        </w:trPr>
        <w:tc>
          <w:tcPr>
            <w:tcW w:type="dxa" w:w="28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Convention collective</w:t>
            </w:r>
          </w:p>
        </w:tc>
        <w:tc>
          <w:tcPr>
            <w:tcW w:type="dxa" w:w="68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Transports routiers et activités auxiliaires du transport (IDCC 16)</w:t>
            </w:r>
          </w:p>
        </w:tc>
      </w:tr>
      <w:tr>
        <w:trPr>
          <w:cantSplit/>
        </w:trPr>
        <w:tc>
          <w:tcPr>
            <w:tcW w:type="dxa" w:w="28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Direction</w:t>
            </w:r>
          </w:p>
        </w:tc>
        <w:tc>
          <w:tcPr>
            <w:tcW w:type="dxa" w:w="68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Deux co-gérants</w:t>
            </w:r>
          </w:p>
        </w:tc>
      </w:tr>
      <w:tr>
        <w:trPr>
          <w:cantSplit/>
        </w:trPr>
        <w:tc>
          <w:tcPr>
            <w:tcW w:type="dxa" w:w="28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Effectif</w:t>
            </w:r>
          </w:p>
        </w:tc>
        <w:tc>
          <w:tcPr>
            <w:tcW w:type="dxa" w:w="68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7 à 8 salariés en CDI, dont 2 assistantes de direction ; jusqu'à 20 intérimaires en haute saison</w:t>
            </w:r>
          </w:p>
        </w:tc>
      </w:tr>
      <w:tr>
        <w:trPr>
          <w:cantSplit/>
        </w:trPr>
        <w:tc>
          <w:tcPr>
            <w:tcW w:type="dxa" w:w="28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Flotte</w:t>
            </w:r>
          </w:p>
        </w:tc>
        <w:tc>
          <w:tcPr>
            <w:tcW w:type="dxa" w:w="68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7 camions en propriété ; jusqu'à 15 camions en location en haute saison</w:t>
            </w:r>
          </w:p>
        </w:tc>
      </w:tr>
      <w:tr>
        <w:trPr>
          <w:cantSplit/>
        </w:trPr>
        <w:tc>
          <w:tcPr>
            <w:tcW w:type="dxa" w:w="28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Clientèle</w:t>
            </w:r>
          </w:p>
        </w:tc>
        <w:tc>
          <w:tcPr>
            <w:tcW w:type="dxa" w:w="68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40 à 50 clients professionnels (chargeurs)</w:t>
            </w:r>
          </w:p>
        </w:tc>
      </w:tr>
      <w:tr>
        <w:trPr>
          <w:cantSplit/>
        </w:trPr>
        <w:tc>
          <w:tcPr>
            <w:tcW w:type="dxa" w:w="28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Résultat net</w:t>
            </w:r>
          </w:p>
        </w:tc>
        <w:tc>
          <w:tcPr>
            <w:tcW w:type="dxa" w:w="68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77,8 k€ puis 9,1 k€ sur les deux derniers exercices publiés</w:t>
            </w:r>
          </w:p>
        </w:tc>
      </w:tr>
    </w:tbl>
    <w:p>
      <w:pPr>
        <w:spacing w:after="200" w:before="80"/>
        <w:jc w:val="center"/>
      </w:pPr>
      <w:r>
        <w:rPr>
          <w:i/>
          <w:iCs/>
          <w:color w:val="595959"/>
          <w:sz w:val="18"/>
          <w:szCs w:val="18"/>
        </w:rPr>
        <w:t xml:space="preserve">Tableau 1 – Fiche d'identité de BV2G Transport (sources : Annuaire des entreprises, Pappers, entreprise)</w:t>
      </w:r>
    </w:p>
    <w:p>
      <w:pPr>
        <w:spacing w:after="120" w:before="0"/>
        <w:jc w:val="both"/>
      </w:pPr>
      <w:r>
        <w:t xml:space="preserve">L'activité est fortement saisonnière : en haute saison, l'entreprise double presque sa capacité en louant jusqu'à 15 camions supplémentaires et en recourant à une vingtaine d'intérimaires. Cette flexibilité est une force commerciale, mais elle multiplie la charge administrative (plannings, contrats, documents de transport, factures) au moment précis où l'activité est la plus intense.</w:t>
      </w:r>
    </w:p>
    <w:p>
      <w:pPr>
        <w:pStyle w:val="Heading2"/>
      </w:pPr>
      <w:r>
        <w:t xml:space="preserve">1.2. Analyse de l'environnement (PESTEL)</w:t>
      </w:r>
    </w:p>
    <w:p>
      <w:pPr>
        <w:spacing w:after="120" w:before="0"/>
        <w:jc w:val="both"/>
      </w:pPr>
      <w:r>
        <w:t xml:space="preserve">Pour comprendre les pressions qui s'exercent sur BV2G, nous avons réalisé une analyse PESTEL centrée sur les éléments qui concernent directement le projet de transformation numérique.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3338"/>
      </w:tblGrid>
      <w:tr>
        <w:trPr>
          <w:cantSplit/>
          <w:tblHeader/>
        </w:trPr>
        <w:tc>
          <w:tcPr>
            <w:tcW w:type="dxa" w:w="17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Facteur</w:t>
            </w:r>
          </w:p>
        </w:tc>
        <w:tc>
          <w:tcPr>
            <w:tcW w:type="dxa" w:w="46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Éléments clés</w:t>
            </w:r>
          </w:p>
        </w:tc>
        <w:tc>
          <w:tcPr>
            <w:tcW w:type="dxa" w:w="333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Conséquence pour le projet</w:t>
            </w:r>
          </w:p>
        </w:tc>
      </w:tr>
      <w:tr>
        <w:trPr>
          <w:cantSplit/>
        </w:trPr>
        <w:tc>
          <w:tcPr>
            <w:tcW w:type="dxa" w:w="1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Politique</w:t>
            </w:r>
          </w:p>
        </w:tc>
        <w:tc>
          <w:tcPr>
            <w:tcW w:type="dxa" w:w="4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Soutien public à la numérisation des TPE et PME (France Num, CCI) ; politique de décarbonation du transport routier (ADEME, programme Objectif CO2).</w:t>
            </w:r>
          </w:p>
        </w:tc>
        <w:tc>
          <w:tcPr>
            <w:tcW w:type="dxa" w:w="33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Accompagnement et financements mobilisables ; l'entreprise a déjà bénéficié d'une aide de l'ADEME.</w:t>
            </w:r>
            <w:r>
              <w:rPr>
                <w:rStyle w:val="FootnoteReference"/>
              </w:rPr>
              <w:footnoteReference w:id="1"/>
            </w:r>
          </w:p>
        </w:tc>
      </w:tr>
      <w:tr>
        <w:trPr>
          <w:cantSplit/>
        </w:trPr>
        <w:tc>
          <w:tcPr>
            <w:tcW w:type="dxa" w:w="17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Économique</w:t>
            </w:r>
          </w:p>
        </w:tc>
        <w:tc>
          <w:tcPr>
            <w:tcW w:type="dxa" w:w="4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Forte volatilité du prix du gazole ; secteur très concurrentiel et fragmenté ; hausse des coûts (salaires, assurances, péages) ; résultat net de BV2G en net recul.</w:t>
            </w:r>
          </w:p>
        </w:tc>
        <w:tc>
          <w:tcPr>
            <w:tcW w:type="dxa" w:w="33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Nécessité de maîtriser les coûts administratifs et d'accélérer l'encaissement des factures.</w:t>
            </w:r>
          </w:p>
        </w:tc>
      </w:tr>
      <w:tr>
        <w:trPr>
          <w:cantSplit/>
        </w:trPr>
        <w:tc>
          <w:tcPr>
            <w:tcW w:type="dxa" w:w="1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Social</w:t>
            </w:r>
          </w:p>
        </w:tc>
        <w:tc>
          <w:tcPr>
            <w:tcW w:type="dxa" w:w="4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Pénurie de conducteurs dans le transport routier ; recours important à l'intérim ; attente d'outils mobiles chez les jeunes salariés, mais aisance numérique inégale.</w:t>
            </w:r>
          </w:p>
        </w:tc>
        <w:tc>
          <w:tcPr>
            <w:tcW w:type="dxa" w:w="33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Outil simple, utilisable sur smartphone, avec un accompagnement adapté à chacun.</w:t>
            </w:r>
          </w:p>
        </w:tc>
      </w:tr>
      <w:tr>
        <w:trPr>
          <w:cantSplit/>
        </w:trPr>
        <w:tc>
          <w:tcPr>
            <w:tcW w:type="dxa" w:w="17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Technologique</w:t>
            </w:r>
          </w:p>
        </w:tc>
        <w:tc>
          <w:tcPr>
            <w:tcW w:type="dxa" w:w="4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Maturité des logiciels de gestion du transport (TMS) en mode SaaS ; lettre de voiture électronique (e-CMR) ; lecture automatique de documents et IA ; plateformes de fret.</w:t>
            </w:r>
          </w:p>
        </w:tc>
        <w:tc>
          <w:tcPr>
            <w:tcW w:type="dxa" w:w="33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Solutions disponibles par abonnement, sans serveur ni investissement lourd.</w:t>
            </w:r>
          </w:p>
        </w:tc>
      </w:tr>
      <w:tr>
        <w:trPr>
          <w:cantSplit/>
        </w:trPr>
        <w:tc>
          <w:tcPr>
            <w:tcW w:type="dxa" w:w="1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Écologique</w:t>
            </w:r>
          </w:p>
        </w:tc>
        <w:tc>
          <w:tcPr>
            <w:tcW w:type="dxa" w:w="4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Les transports sont le premier secteur émetteur de gaz à effet de serre en France</w:t>
            </w:r>
            <w:r>
              <w:rPr>
                <w:rStyle w:val="FootnoteReference"/>
              </w:rPr>
              <w:footnoteReference w:id="2"/>
            </w:r>
            <w:r>
              <w:rPr>
                <w:b w:val="false"/>
                <w:bCs w:val="false"/>
                <w:sz w:val="19"/>
                <w:szCs w:val="19"/>
              </w:rPr>
              <w:t xml:space="preserve"> ; obligation d'informer les clients du CO2 émis par chaque prestation.</w:t>
            </w:r>
            <w:r>
              <w:rPr>
                <w:rStyle w:val="FootnoteReference"/>
              </w:rPr>
              <w:footnoteReference w:id="3"/>
            </w:r>
          </w:p>
        </w:tc>
        <w:tc>
          <w:tcPr>
            <w:tcW w:type="dxa" w:w="33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Dématérialisation, réduction des trajets inutiles, calcul automatisé du CO2.</w:t>
            </w:r>
          </w:p>
        </w:tc>
      </w:tr>
      <w:tr>
        <w:trPr>
          <w:cantSplit/>
        </w:trPr>
        <w:tc>
          <w:tcPr>
            <w:tcW w:type="dxa" w:w="17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Légal</w:t>
            </w:r>
          </w:p>
        </w:tc>
        <w:tc>
          <w:tcPr>
            <w:tcW w:type="dxa" w:w="4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Facturation électronique : réception obligatoire depuis le 1er septembre 2026, émission obligatoire pour les PME au 1er septembre 2027</w:t>
            </w:r>
            <w:r>
              <w:rPr>
                <w:rStyle w:val="FootnoteReference"/>
              </w:rPr>
              <w:footnoteReference w:id="4"/>
            </w:r>
            <w:r>
              <w:rPr>
                <w:b w:val="false"/>
                <w:bCs w:val="false"/>
                <w:sz w:val="19"/>
                <w:szCs w:val="19"/>
              </w:rPr>
              <w:t xml:space="preserve"> ; indexation gazole obligatoire ; lettre de voiture obligatoire ; RGPD.</w:t>
            </w:r>
          </w:p>
        </w:tc>
        <w:tc>
          <w:tcPr>
            <w:tcW w:type="dxa" w:w="33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Le projet est aussi une mise en conformité, avec une échéance ferme en septembre 2027.</w:t>
            </w:r>
          </w:p>
        </w:tc>
      </w:tr>
    </w:tbl>
    <w:p>
      <w:pPr>
        <w:spacing w:after="200" w:before="80"/>
        <w:jc w:val="center"/>
      </w:pPr>
      <w:r>
        <w:rPr>
          <w:i/>
          <w:iCs/>
          <w:color w:val="595959"/>
          <w:sz w:val="18"/>
          <w:szCs w:val="18"/>
        </w:rPr>
        <w:t xml:space="preserve">Tableau 2 – Analyse PESTEL de l'environnement de BV2G Transport</w:t>
      </w:r>
    </w:p>
    <w:p>
      <w:pPr>
        <w:spacing w:after="120" w:before="0"/>
        <w:jc w:val="both"/>
      </w:pPr>
      <w:r>
        <w:t xml:space="preserve">Deux contraintes propres au transport routier pèsent directement sur le travail administratif. D'une part, le Code des transports impose de répercuter la variation du coût du carburant dans le prix du transport : c'est l'</w:t>
      </w:r>
      <w:r>
        <w:rPr>
          <w:b/>
          <w:bCs/>
        </w:rPr>
        <w:t xml:space="preserve">indexation gazole</w:t>
      </w:r>
      <w:r>
        <w:t xml:space="preserve">, calculée à partir des indices publiés chaque mois par le Comité national routier (CNR).</w:t>
      </w:r>
      <w:r>
        <w:rPr>
          <w:rStyle w:val="FootnoteReference"/>
        </w:rPr>
        <w:footnoteReference w:id="5"/>
      </w:r>
      <w:r>
        <w:t xml:space="preserve"> D'autre part, la </w:t>
      </w:r>
      <w:r>
        <w:rPr>
          <w:b/>
          <w:bCs/>
        </w:rPr>
        <w:t xml:space="preserve">lettre de voiture</w:t>
      </w:r>
      <w:r>
        <w:t xml:space="preserve"> doit accompagner chaque transport ; sa version électronique est désormais reconnue</w:t>
      </w:r>
      <w:r>
        <w:rPr>
          <w:rStyle w:val="FootnoteReference"/>
        </w:rPr>
        <w:footnoteReference w:id="6"/>
      </w:r>
      <w:r>
        <w:t xml:space="preserve">, ce qui ouvre la voie à sa dématérialisation.</w:t>
      </w:r>
    </w:p>
    <w:p>
      <w:pPr>
        <w:pStyle w:val="Heading2"/>
      </w:pPr>
      <w:r>
        <w:t xml:space="preserve">1.3. Les ressources de l'organisation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BFC8D6" w:sz="4"/>
              <w:left w:val="single" w:color="BFC8D6" w:sz="4"/>
              <w:bottom w:val="single" w:color="BFC8D6" w:sz="4"/>
              <w:right w:val="single" w:color="BFC8D6" w:sz="4"/>
            </w:tcBorders>
            <w:tcMar>
              <w:top w:type="dxa" w:w="70"/>
              <w:left w:type="dxa" w:w="100"/>
              <w:bottom w:type="dxa" w:w="70"/>
              <w:right w:type="dxa" w:w="100"/>
            </w:tcMar>
            <w:vAlign w:val="top"/>
          </w:tcPr>
          <w:p>
            <w:pPr>
              <w:spacing w:after="40"/>
              <w:jc w:val="left"/>
            </w:pPr>
            <w:r>
              <w:rPr>
                <w:b/>
                <w:bCs/>
                <w:sz w:val="19"/>
                <w:szCs w:val="19"/>
              </w:rPr>
              <w:t xml:space="preserve">Ressources humaines</w:t>
            </w:r>
          </w:p>
          <w:p>
            <w:pPr>
              <w:pStyle w:val="ListParagraph"/>
              <w:numPr>
                <w:ilvl w:val="0"/>
                <w:numId w:val="3"/>
              </w:numPr>
              <w:spacing w:after="40"/>
              <w:jc w:val="left"/>
            </w:pPr>
            <w:r>
              <w:rPr>
                <w:sz w:val="19"/>
                <w:szCs w:val="19"/>
              </w:rPr>
              <w:t xml:space="preserve">2 co-gérants, qui assurent la direction et une partie de l'exploitation</w:t>
            </w:r>
          </w:p>
          <w:p>
            <w:pPr>
              <w:pStyle w:val="ListParagraph"/>
              <w:numPr>
                <w:ilvl w:val="0"/>
                <w:numId w:val="3"/>
              </w:numPr>
              <w:spacing w:after="40"/>
              <w:jc w:val="left"/>
            </w:pPr>
            <w:r>
              <w:rPr>
                <w:sz w:val="19"/>
                <w:szCs w:val="19"/>
              </w:rPr>
              <w:t xml:space="preserve">7 à 8 salariés en CDI, dont 2 assistantes de direction</w:t>
            </w:r>
          </w:p>
          <w:p>
            <w:pPr>
              <w:pStyle w:val="ListParagraph"/>
              <w:numPr>
                <w:ilvl w:val="0"/>
                <w:numId w:val="3"/>
              </w:numPr>
              <w:spacing w:after="40"/>
              <w:jc w:val="left"/>
            </w:pPr>
            <w:r>
              <w:rPr>
                <w:sz w:val="19"/>
                <w:szCs w:val="19"/>
              </w:rPr>
              <w:t xml:space="preserve">Jusqu'à 20 intérimaires en haute saison</w:t>
            </w:r>
          </w:p>
          <w:p>
            <w:pPr>
              <w:pStyle w:val="ListParagraph"/>
              <w:numPr>
                <w:ilvl w:val="0"/>
                <w:numId w:val="3"/>
              </w:numPr>
              <w:spacing w:after="40"/>
              <w:jc w:val="left"/>
            </w:pPr>
            <w:r>
              <w:rPr>
                <w:sz w:val="19"/>
                <w:szCs w:val="19"/>
              </w:rPr>
              <w:t xml:space="preserve">Aucune compétence informatique dédiée</w:t>
            </w:r>
          </w:p>
        </w:tc>
        <w:tc>
          <w:tcPr>
            <w:tcW w:type="dxa" w:w="4819"/>
            <w:tcBorders>
              <w:top w:val="single" w:color="BFC8D6" w:sz="4"/>
              <w:left w:val="single" w:color="BFC8D6" w:sz="4"/>
              <w:bottom w:val="single" w:color="BFC8D6" w:sz="4"/>
              <w:right w:val="single" w:color="BFC8D6" w:sz="4"/>
            </w:tcBorders>
            <w:tcMar>
              <w:top w:type="dxa" w:w="70"/>
              <w:left w:type="dxa" w:w="100"/>
              <w:bottom w:type="dxa" w:w="70"/>
              <w:right w:type="dxa" w:w="100"/>
            </w:tcMar>
            <w:vAlign w:val="top"/>
          </w:tcPr>
          <w:p>
            <w:pPr>
              <w:spacing w:after="40"/>
              <w:jc w:val="left"/>
            </w:pPr>
            <w:r>
              <w:rPr>
                <w:b/>
                <w:bCs/>
                <w:sz w:val="19"/>
                <w:szCs w:val="19"/>
              </w:rPr>
              <w:t xml:space="preserve">Ressources matérielles</w:t>
            </w:r>
          </w:p>
          <w:p>
            <w:pPr>
              <w:pStyle w:val="ListParagraph"/>
              <w:numPr>
                <w:ilvl w:val="0"/>
                <w:numId w:val="3"/>
              </w:numPr>
              <w:spacing w:after="40"/>
              <w:jc w:val="left"/>
            </w:pPr>
            <w:r>
              <w:rPr>
                <w:sz w:val="19"/>
                <w:szCs w:val="19"/>
              </w:rPr>
              <w:t xml:space="preserve">7 camions en propriété, jusqu'à 15 en location en haute saison</w:t>
            </w:r>
          </w:p>
          <w:p>
            <w:pPr>
              <w:pStyle w:val="ListParagraph"/>
              <w:numPr>
                <w:ilvl w:val="0"/>
                <w:numId w:val="3"/>
              </w:numPr>
              <w:spacing w:after="40"/>
              <w:jc w:val="left"/>
            </w:pPr>
            <w:r>
              <w:rPr>
                <w:sz w:val="19"/>
                <w:szCs w:val="19"/>
              </w:rPr>
              <w:t xml:space="preserve">1 local où est réalisé le travail administratif</w:t>
            </w:r>
          </w:p>
          <w:p>
            <w:pPr>
              <w:pStyle w:val="ListParagraph"/>
              <w:numPr>
                <w:ilvl w:val="0"/>
                <w:numId w:val="3"/>
              </w:numPr>
              <w:spacing w:after="40"/>
              <w:jc w:val="left"/>
            </w:pPr>
            <w:r>
              <w:rPr>
                <w:sz w:val="19"/>
                <w:szCs w:val="19"/>
              </w:rPr>
              <w:t xml:space="preserve">1 entrepôt où sont stationnés les camions</w:t>
            </w:r>
          </w:p>
          <w:p>
            <w:pPr>
              <w:pStyle w:val="ListParagraph"/>
              <w:numPr>
                <w:ilvl w:val="0"/>
                <w:numId w:val="3"/>
              </w:numPr>
              <w:spacing w:after="40"/>
              <w:jc w:val="left"/>
            </w:pPr>
            <w:r>
              <w:rPr>
                <w:sz w:val="19"/>
                <w:szCs w:val="19"/>
              </w:rPr>
              <w:t xml:space="preserve">Un équipement informatique limité (voir partie 3)</w:t>
            </w:r>
          </w:p>
          <w:p>
            <w:pPr>
              <w:pStyle w:val="ListParagraph"/>
              <w:numPr>
                <w:ilvl w:val="0"/>
                <w:numId w:val="3"/>
              </w:numPr>
              <w:spacing w:after="40"/>
              <w:jc w:val="left"/>
            </w:pPr>
            <w:r>
              <w:rPr>
                <w:sz w:val="19"/>
                <w:szCs w:val="19"/>
              </w:rPr>
              <w:t xml:space="preserve">De nombreux supports papier : plannings, lettres de voiture, fiches et relevés clients</w:t>
            </w:r>
          </w:p>
        </w:tc>
      </w:tr>
      <w:tr>
        <w:trPr>
          <w:cantSplit/>
        </w:trPr>
        <w:tc>
          <w:tcPr>
            <w:tcW w:type="dxa" w:w="4819"/>
            <w:tcBorders>
              <w:top w:val="single" w:color="BFC8D6" w:sz="4"/>
              <w:left w:val="single" w:color="BFC8D6" w:sz="4"/>
              <w:bottom w:val="single" w:color="BFC8D6" w:sz="4"/>
              <w:right w:val="single" w:color="BFC8D6" w:sz="4"/>
            </w:tcBorders>
            <w:tcMar>
              <w:top w:type="dxa" w:w="70"/>
              <w:left w:type="dxa" w:w="100"/>
              <w:bottom w:type="dxa" w:w="70"/>
              <w:right w:type="dxa" w:w="100"/>
            </w:tcMar>
            <w:vAlign w:val="top"/>
          </w:tcPr>
          <w:p>
            <w:pPr>
              <w:spacing w:after="40"/>
              <w:jc w:val="left"/>
            </w:pPr>
            <w:r>
              <w:rPr>
                <w:b/>
                <w:bCs/>
                <w:sz w:val="19"/>
                <w:szCs w:val="19"/>
              </w:rPr>
              <w:t xml:space="preserve">Ressources immatérielles</w:t>
            </w:r>
          </w:p>
          <w:p>
            <w:pPr>
              <w:pStyle w:val="ListParagraph"/>
              <w:numPr>
                <w:ilvl w:val="0"/>
                <w:numId w:val="3"/>
              </w:numPr>
              <w:spacing w:after="40"/>
              <w:jc w:val="left"/>
            </w:pPr>
            <w:r>
              <w:rPr>
                <w:sz w:val="19"/>
                <w:szCs w:val="19"/>
              </w:rPr>
              <w:t xml:space="preserve">Logiciels utilisés : DH DOC et Excel</w:t>
            </w:r>
          </w:p>
          <w:p>
            <w:pPr>
              <w:pStyle w:val="ListParagraph"/>
              <w:numPr>
                <w:ilvl w:val="0"/>
                <w:numId w:val="3"/>
              </w:numPr>
              <w:spacing w:after="40"/>
              <w:jc w:val="left"/>
            </w:pPr>
            <w:r>
              <w:rPr>
                <w:sz w:val="19"/>
                <w:szCs w:val="19"/>
              </w:rPr>
              <w:t xml:space="preserve">Un portefeuille de 40 à 50 clients</w:t>
            </w:r>
          </w:p>
          <w:p>
            <w:pPr>
              <w:pStyle w:val="ListParagraph"/>
              <w:numPr>
                <w:ilvl w:val="0"/>
                <w:numId w:val="3"/>
              </w:numPr>
              <w:spacing w:after="40"/>
              <w:jc w:val="left"/>
            </w:pPr>
            <w:r>
              <w:rPr>
                <w:sz w:val="19"/>
                <w:szCs w:val="19"/>
              </w:rPr>
              <w:t xml:space="preserve">Le savoir-faire des équipes et la connaissance des clients</w:t>
            </w:r>
          </w:p>
          <w:p>
            <w:pPr>
              <w:pStyle w:val="ListParagraph"/>
              <w:numPr>
                <w:ilvl w:val="0"/>
                <w:numId w:val="3"/>
              </w:numPr>
              <w:spacing w:after="40"/>
              <w:jc w:val="left"/>
            </w:pPr>
            <w:r>
              <w:rPr>
                <w:sz w:val="19"/>
                <w:szCs w:val="19"/>
              </w:rPr>
              <w:t xml:space="preserve">Des données dispersées entre papier, Excel et messagerie</w:t>
            </w:r>
          </w:p>
          <w:p>
            <w:pPr>
              <w:pStyle w:val="ListParagraph"/>
              <w:numPr>
                <w:ilvl w:val="0"/>
                <w:numId w:val="3"/>
              </w:numPr>
              <w:spacing w:after="40"/>
              <w:jc w:val="left"/>
            </w:pPr>
            <w:r>
              <w:rPr>
                <w:sz w:val="19"/>
                <w:szCs w:val="19"/>
              </w:rPr>
              <w:t xml:space="preserve">Une messagerie très peu sécurisée</w:t>
            </w:r>
          </w:p>
          <w:p>
            <w:pPr>
              <w:pStyle w:val="ListParagraph"/>
              <w:numPr>
                <w:ilvl w:val="0"/>
                <w:numId w:val="3"/>
              </w:numPr>
              <w:spacing w:after="40"/>
              <w:jc w:val="left"/>
            </w:pPr>
            <w:r>
              <w:rPr>
                <w:sz w:val="19"/>
                <w:szCs w:val="19"/>
              </w:rPr>
              <w:t xml:space="preserve">Aucun site internet, aucune présence en ligne</w:t>
            </w:r>
          </w:p>
        </w:tc>
        <w:tc>
          <w:tcPr>
            <w:tcW w:type="dxa" w:w="4819"/>
            <w:tcBorders>
              <w:top w:val="single" w:color="BFC8D6" w:sz="4"/>
              <w:left w:val="single" w:color="BFC8D6" w:sz="4"/>
              <w:bottom w:val="single" w:color="BFC8D6" w:sz="4"/>
              <w:right w:val="single" w:color="BFC8D6" w:sz="4"/>
            </w:tcBorders>
            <w:tcMar>
              <w:top w:type="dxa" w:w="70"/>
              <w:left w:type="dxa" w:w="100"/>
              <w:bottom w:type="dxa" w:w="70"/>
              <w:right w:type="dxa" w:w="100"/>
            </w:tcMar>
            <w:vAlign w:val="top"/>
          </w:tcPr>
          <w:p>
            <w:pPr>
              <w:spacing w:after="40"/>
              <w:jc w:val="left"/>
            </w:pPr>
            <w:r>
              <w:rPr>
                <w:b/>
                <w:bCs/>
                <w:sz w:val="19"/>
                <w:szCs w:val="19"/>
              </w:rPr>
              <w:t xml:space="preserve">Ressources financières</w:t>
            </w:r>
          </w:p>
          <w:p>
            <w:pPr>
              <w:pStyle w:val="ListParagraph"/>
              <w:numPr>
                <w:ilvl w:val="0"/>
                <w:numId w:val="3"/>
              </w:numPr>
              <w:spacing w:after="40"/>
              <w:jc w:val="left"/>
            </w:pPr>
            <w:r>
              <w:rPr>
                <w:sz w:val="19"/>
                <w:szCs w:val="19"/>
              </w:rPr>
              <w:t xml:space="preserve">Capital social de 30 000 €</w:t>
            </w:r>
          </w:p>
          <w:p>
            <w:pPr>
              <w:pStyle w:val="ListParagraph"/>
              <w:numPr>
                <w:ilvl w:val="0"/>
                <w:numId w:val="3"/>
              </w:numPr>
              <w:spacing w:after="40"/>
              <w:jc w:val="left"/>
            </w:pPr>
            <w:r>
              <w:rPr>
                <w:sz w:val="19"/>
                <w:szCs w:val="19"/>
              </w:rPr>
              <w:t xml:space="preserve">Résultat net de 77,8 k€ puis de 9,1 k€ sur les deux derniers exercices publiés (source : Pappers), soit une baisse d'environ 88 %</w:t>
            </w:r>
          </w:p>
          <w:p>
            <w:pPr>
              <w:pStyle w:val="ListParagraph"/>
              <w:numPr>
                <w:ilvl w:val="0"/>
                <w:numId w:val="3"/>
              </w:numPr>
              <w:spacing w:after="40"/>
              <w:jc w:val="left"/>
            </w:pPr>
            <w:r>
              <w:rPr>
                <w:sz w:val="19"/>
                <w:szCs w:val="19"/>
              </w:rPr>
              <w:t xml:space="preserve">Une capacité d'investissement limitée, qui oriente vers des solutions par abonnement</w:t>
            </w:r>
          </w:p>
        </w:tc>
      </w:tr>
    </w:tbl>
    <w:p>
      <w:pPr>
        <w:spacing w:after="200" w:before="80"/>
        <w:jc w:val="center"/>
      </w:pPr>
      <w:r>
        <w:rPr>
          <w:i/>
          <w:iCs/>
          <w:color w:val="595959"/>
          <w:sz w:val="18"/>
          <w:szCs w:val="18"/>
        </w:rPr>
        <w:t xml:space="preserve">Tableau 3 – Les ressources de BV2G Transport</w:t>
      </w:r>
    </w:p>
    <w:p>
      <w:pPr>
        <w:spacing w:after="120" w:before="0"/>
        <w:jc w:val="both"/>
      </w:pPr>
      <w:r>
        <w:t xml:space="preserve">La lecture de ces ressources fait apparaître un déséquilibre : l'entreprise dispose d'un outil de production solide (flotte, entrepôt, clientèle), mais d'un système d'information très faible au regard du volume d'informations à traiter. La forte baisse du résultat net renforce l'intérêt d'un projet qui réduit les coûts de fonctionnement sans immobiliser de capitaux importants.</w:t>
      </w:r>
    </w:p>
    <w:p>
      <w:pPr>
        <w:pStyle w:val="Heading2"/>
      </w:pPr>
      <w:r>
        <w:t xml:space="preserve">1.4. Les limites de l'organisation</w:t>
      </w:r>
    </w:p>
    <w:p>
      <w:pPr>
        <w:pStyle w:val="ListParagraph"/>
        <w:numPr>
          <w:ilvl w:val="0"/>
          <w:numId w:val="2"/>
        </w:numPr>
        <w:spacing w:after="60"/>
        <w:jc w:val="both"/>
      </w:pPr>
      <w:r>
        <w:rPr>
          <w:b/>
          <w:bCs/>
        </w:rPr>
        <w:t xml:space="preserve">Une dépendance totale aux deux assistantes de direction</w:t>
      </w:r>
      <w:r>
        <w:t xml:space="preserve"> : toutes les informations passent par elles. Leur absence, même courte, bloque le planning et la facturation.</w:t>
      </w:r>
    </w:p>
    <w:p>
      <w:pPr>
        <w:pStyle w:val="ListParagraph"/>
        <w:numPr>
          <w:ilvl w:val="0"/>
          <w:numId w:val="2"/>
        </w:numPr>
        <w:spacing w:after="60"/>
        <w:jc w:val="both"/>
      </w:pPr>
      <w:r>
        <w:rPr>
          <w:b/>
          <w:bCs/>
        </w:rPr>
        <w:t xml:space="preserve">Des processus essentiellement papier</w:t>
      </w:r>
      <w:r>
        <w:t xml:space="preserve"> : plannings, lettres de voiture et relevés clients sont rédigés, transportés et ressaisis à la main, avec des risques de perte, d'erreur et de retard.</w:t>
      </w:r>
    </w:p>
    <w:p>
      <w:pPr>
        <w:pStyle w:val="ListParagraph"/>
        <w:numPr>
          <w:ilvl w:val="0"/>
          <w:numId w:val="2"/>
        </w:numPr>
        <w:spacing w:after="60"/>
        <w:jc w:val="both"/>
      </w:pPr>
      <w:r>
        <w:rPr>
          <w:b/>
          <w:bCs/>
        </w:rPr>
        <w:t xml:space="preserve">Des outils cloisonnés</w:t>
      </w:r>
      <w:r>
        <w:t xml:space="preserve"> : DH DOC et Excel ne communiquent pas entre eux, ce qui entraîne des doubles saisies.</w:t>
      </w:r>
    </w:p>
    <w:p>
      <w:pPr>
        <w:pStyle w:val="ListParagraph"/>
        <w:numPr>
          <w:ilvl w:val="0"/>
          <w:numId w:val="2"/>
        </w:numPr>
        <w:spacing w:after="60"/>
        <w:jc w:val="both"/>
      </w:pPr>
      <w:r>
        <w:rPr>
          <w:b/>
          <w:bCs/>
        </w:rPr>
        <w:t xml:space="preserve">Un calcul manuel de l'indexation gazole</w:t>
      </w:r>
      <w:r>
        <w:t xml:space="preserve">, long et source d'erreurs, avec un risque de perte de marge ou de litige.</w:t>
      </w:r>
    </w:p>
    <w:p>
      <w:pPr>
        <w:pStyle w:val="ListParagraph"/>
        <w:numPr>
          <w:ilvl w:val="0"/>
          <w:numId w:val="2"/>
        </w:numPr>
        <w:spacing w:after="60"/>
        <w:jc w:val="both"/>
      </w:pPr>
      <w:r>
        <w:rPr>
          <w:b/>
          <w:bCs/>
        </w:rPr>
        <w:t xml:space="preserve">Une facturation tardive et des relances irrégulières</w:t>
      </w:r>
      <w:r>
        <w:t xml:space="preserve">, qui allongent les délais de paiement et tendent la trésorerie.</w:t>
      </w:r>
    </w:p>
    <w:p>
      <w:pPr>
        <w:pStyle w:val="ListParagraph"/>
        <w:numPr>
          <w:ilvl w:val="0"/>
          <w:numId w:val="2"/>
        </w:numPr>
        <w:spacing w:after="60"/>
        <w:jc w:val="both"/>
      </w:pPr>
      <w:r>
        <w:rPr>
          <w:b/>
          <w:bCs/>
        </w:rPr>
        <w:t xml:space="preserve">Une sécurité insuffisante</w:t>
      </w:r>
      <w:r>
        <w:t xml:space="preserve"> : la messagerie a été piratée et utilisée pour envoyer de faux devis aux clients ; aucune sauvegarde n'est organisée.</w:t>
      </w:r>
    </w:p>
    <w:p>
      <w:pPr>
        <w:pStyle w:val="ListParagraph"/>
        <w:numPr>
          <w:ilvl w:val="0"/>
          <w:numId w:val="2"/>
        </w:numPr>
        <w:spacing w:after="60"/>
        <w:jc w:val="both"/>
      </w:pPr>
      <w:r>
        <w:rPr>
          <w:b/>
          <w:bCs/>
        </w:rPr>
        <w:t xml:space="preserve">Une absence de visibilité en ligne</w:t>
      </w:r>
      <w:r>
        <w:t xml:space="preserve">, qui limite la prospection, la crédibilité de l'entreprise et le recrutement de chauffeurs.</w:t>
      </w:r>
    </w:p>
    <w:p>
      <w:pPr>
        <w:pStyle w:val="Heading2"/>
      </w:pPr>
      <w:r>
        <w:t xml:space="preserve">1.5. Les besoins en transformation numérique</w:t>
      </w:r>
    </w:p>
    <w:p>
      <w:pPr>
        <w:spacing w:after="120" w:before="0"/>
        <w:jc w:val="both"/>
      </w:pPr>
      <w:r>
        <w:t xml:space="preserve">Les limites identifiées se traduisent en besoins concrets. Le tableau ci-dessous relie chaque besoin à la situation actuelle et à la réponse numérique que nous proposons.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738"/>
      </w:tblGrid>
      <w:tr>
        <w:trPr>
          <w:cantSplit/>
          <w:tblHeader/>
        </w:trPr>
        <w:tc>
          <w:tcPr>
            <w:tcW w:type="dxa" w:w="25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Besoin</w:t>
            </w:r>
          </w:p>
        </w:tc>
        <w:tc>
          <w:tcPr>
            <w:tcW w:type="dxa" w:w="34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Situation actuelle</w:t>
            </w:r>
          </w:p>
        </w:tc>
        <w:tc>
          <w:tcPr>
            <w:tcW w:type="dxa" w:w="373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Réponse numérique proposée</w:t>
            </w:r>
          </w:p>
        </w:tc>
      </w:tr>
      <w:tr>
        <w:trPr>
          <w:cantSplit/>
        </w:trPr>
        <w:tc>
          <w:tcPr>
            <w:tcW w:type="dxa" w:w="2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Partager le planning</w:t>
            </w:r>
          </w:p>
        </w:tc>
        <w:tc>
          <w:tcPr>
            <w:tcW w:type="dxa" w:w="34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Planning papier rédigé par les assistantes puis transmis aux chauffeurs</w:t>
            </w:r>
          </w:p>
        </w:tc>
        <w:tc>
          <w:tcPr>
            <w:tcW w:type="dxa" w:w="37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Planning numérique consultable sur smartphone, avec notifications</w:t>
            </w:r>
          </w:p>
        </w:tc>
      </w:tr>
      <w:tr>
        <w:trPr>
          <w:cantSplit/>
        </w:trPr>
        <w:tc>
          <w:tcPr>
            <w:tcW w:type="dxa" w:w="25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Dématérialiser les lettres de voiture</w:t>
            </w:r>
          </w:p>
        </w:tc>
        <w:tc>
          <w:tcPr>
            <w:tcW w:type="dxa" w:w="34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Lettres papier déposées dans une boîte aux lettres au local</w:t>
            </w:r>
          </w:p>
        </w:tc>
        <w:tc>
          <w:tcPr>
            <w:tcW w:type="dxa" w:w="37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Lettre de voiture photographiée ou signée sur smartphone (e-CMR), transmise en temps réel</w:t>
            </w:r>
          </w:p>
        </w:tc>
      </w:tr>
      <w:tr>
        <w:trPr>
          <w:cantSplit/>
        </w:trPr>
        <w:tc>
          <w:tcPr>
            <w:tcW w:type="dxa" w:w="2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Automatiser l'indexation gazole</w:t>
            </w:r>
          </w:p>
        </w:tc>
        <w:tc>
          <w:tcPr>
            <w:tcW w:type="dxa" w:w="34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Calcul manuel à partir des indices du CNR</w:t>
            </w:r>
          </w:p>
        </w:tc>
        <w:tc>
          <w:tcPr>
            <w:tcW w:type="dxa" w:w="37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Calcul automatique intégré à la facture</w:t>
            </w:r>
          </w:p>
        </w:tc>
      </w:tr>
      <w:tr>
        <w:trPr>
          <w:cantSplit/>
        </w:trPr>
        <w:tc>
          <w:tcPr>
            <w:tcW w:type="dxa" w:w="25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Facturer plus vite</w:t>
            </w:r>
          </w:p>
        </w:tc>
        <w:tc>
          <w:tcPr>
            <w:tcW w:type="dxa" w:w="34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Saisie manuelle des relevés en fin de mois</w:t>
            </w:r>
          </w:p>
        </w:tc>
        <w:tc>
          <w:tcPr>
            <w:tcW w:type="dxa" w:w="37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Pré-facturation par IA à partir des lettres de voiture, validée par l'assistante</w:t>
            </w:r>
          </w:p>
        </w:tc>
      </w:tr>
      <w:tr>
        <w:trPr>
          <w:cantSplit/>
        </w:trPr>
        <w:tc>
          <w:tcPr>
            <w:tcW w:type="dxa" w:w="2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Être payé plus vite</w:t>
            </w:r>
          </w:p>
        </w:tc>
        <w:tc>
          <w:tcPr>
            <w:tcW w:type="dxa" w:w="34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Relances ponctuelles, quand le temps le permet</w:t>
            </w:r>
          </w:p>
        </w:tc>
        <w:tc>
          <w:tcPr>
            <w:tcW w:type="dxa" w:w="37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Relances automatiques programmées selon l'échéance</w:t>
            </w:r>
          </w:p>
        </w:tc>
      </w:tr>
      <w:tr>
        <w:trPr>
          <w:cantSplit/>
        </w:trPr>
        <w:tc>
          <w:tcPr>
            <w:tcW w:type="dxa" w:w="25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Piloter l'activité</w:t>
            </w:r>
          </w:p>
        </w:tc>
        <w:tc>
          <w:tcPr>
            <w:tcW w:type="dxa" w:w="34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Suivi dispersé dans plusieurs fichiers Excel</w:t>
            </w:r>
          </w:p>
        </w:tc>
        <w:tc>
          <w:tcPr>
            <w:tcW w:type="dxa" w:w="37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Tableau de suivi des factures et indicateurs en temps réel</w:t>
            </w:r>
          </w:p>
        </w:tc>
      </w:tr>
      <w:tr>
        <w:trPr>
          <w:cantSplit/>
        </w:trPr>
        <w:tc>
          <w:tcPr>
            <w:tcW w:type="dxa" w:w="2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Se mettre en conformité</w:t>
            </w:r>
          </w:p>
        </w:tc>
        <w:tc>
          <w:tcPr>
            <w:tcW w:type="dxa" w:w="34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Pas de solution de facturation électronique</w:t>
            </w:r>
          </w:p>
        </w:tc>
        <w:tc>
          <w:tcPr>
            <w:tcW w:type="dxa" w:w="37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SaaS relié à une plateforme agréée</w:t>
            </w:r>
          </w:p>
        </w:tc>
      </w:tr>
      <w:tr>
        <w:trPr>
          <w:cantSplit/>
        </w:trPr>
        <w:tc>
          <w:tcPr>
            <w:tcW w:type="dxa" w:w="25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Sécuriser les données</w:t>
            </w:r>
          </w:p>
        </w:tc>
        <w:tc>
          <w:tcPr>
            <w:tcW w:type="dxa" w:w="34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Messagerie vulnérable, aucune sauvegarde</w:t>
            </w:r>
          </w:p>
        </w:tc>
        <w:tc>
          <w:tcPr>
            <w:tcW w:type="dxa" w:w="37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Messagerie professionnelle avec double authentification, sauvegardes automatiques</w:t>
            </w:r>
          </w:p>
        </w:tc>
      </w:tr>
      <w:tr>
        <w:trPr>
          <w:cantSplit/>
        </w:trPr>
        <w:tc>
          <w:tcPr>
            <w:tcW w:type="dxa" w:w="2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Gagner en visibilité</w:t>
            </w:r>
          </w:p>
        </w:tc>
        <w:tc>
          <w:tcPr>
            <w:tcW w:type="dxa" w:w="34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Aucun site internet</w:t>
            </w:r>
          </w:p>
        </w:tc>
        <w:tc>
          <w:tcPr>
            <w:tcW w:type="dxa" w:w="37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Site vitrine avec formulaire de devis et page recrutement</w:t>
            </w:r>
          </w:p>
        </w:tc>
      </w:tr>
    </w:tbl>
    <w:p>
      <w:pPr>
        <w:spacing w:after="200" w:before="80"/>
        <w:jc w:val="center"/>
      </w:pPr>
      <w:r>
        <w:rPr>
          <w:i/>
          <w:iCs/>
          <w:color w:val="595959"/>
          <w:sz w:val="18"/>
          <w:szCs w:val="18"/>
        </w:rPr>
        <w:t xml:space="preserve">Tableau 4 – Besoins en transformation numérique de BV2G Transport</w:t>
      </w:r>
    </w:p>
    <w:p>
      <w:pPr>
        <w:pStyle w:val="Heading1"/>
        <w:pageBreakBefore/>
      </w:pPr>
      <w:r>
        <w:t xml:space="preserve">2. Le processus de l'entreprise : première ébauche</w:t>
      </w:r>
    </w:p>
    <w:p>
      <w:pPr>
        <w:spacing w:after="120" w:before="0"/>
        <w:jc w:val="both"/>
      </w:pPr>
      <w:r>
        <w:t xml:space="preserve">Nous avons modélisé le processus central de BV2G, de la demande du client jusqu'au paiement de la facture. C'est le processus qui génère le chiffre d'affaires, et celui qui mobilise l'essentiel du temps des assistantes de direction. Cette première ébauche a été construite à partir des informations recueillies auprès de l'entreprise ; elle sera affinée au fil du projet.</w:t>
      </w:r>
    </w:p>
    <w:p>
      <w:pPr>
        <w:pStyle w:val="Heading2"/>
      </w:pPr>
      <w:r>
        <w:t xml:space="preserve">2.1. Le processus actuel</w:t>
      </w:r>
    </w:p>
    <w:p>
      <w:pPr>
        <w:keepNext/>
        <w:spacing w:after="40" w:before="120"/>
        <w:jc w:val="center"/>
      </w:pPr>
      <w:r>
        <w:drawing>
          <wp:inline distT="0" distB="0" distL="0" distR="0">
            <wp:extent cx="5143500" cy="6505575"/>
            <wp:effectExtent t="0" r="0" b="0" l="0"/>
            <wp:docPr id="1" name="process_asis.png" descr="Schéma de processus" title="process_a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6505575"/>
                    </a:xfrm>
                    <a:prstGeom prst="rect">
                      <a:avLst/>
                    </a:prstGeom>
                  </pic:spPr>
                </pic:pic>
              </a:graphicData>
            </a:graphic>
          </wp:inline>
        </w:drawing>
      </w:r>
    </w:p>
    <w:p>
      <w:pPr>
        <w:spacing w:after="200" w:before="80"/>
        <w:jc w:val="center"/>
      </w:pPr>
      <w:r>
        <w:rPr>
          <w:i/>
          <w:iCs/>
          <w:color w:val="595959"/>
          <w:sz w:val="18"/>
          <w:szCs w:val="18"/>
        </w:rPr>
        <w:t xml:space="preserve">Figure 1 – Processus actuel, de la demande du client au paiement</w:t>
      </w:r>
    </w:p>
    <w:p>
      <w:pPr>
        <w:pageBreakBefore/>
        <w:spacing w:after="120" w:before="0"/>
        <w:jc w:val="both"/>
      </w:pPr>
      <w:r>
        <w:t xml:space="preserve">Le tableau ci-dessous détaille chaque étape du processus actuel et les difficultés observées. Les numéros correspondent à ceux de la figure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900"/>
        <w:gridCol w:w="1800"/>
        <w:gridCol w:w="3238"/>
      </w:tblGrid>
      <w:tr>
        <w:trPr>
          <w:cantSplit/>
          <w:tblHeader/>
        </w:trPr>
        <w:tc>
          <w:tcPr>
            <w:tcW w:type="dxa" w:w="5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N°</w:t>
            </w:r>
          </w:p>
        </w:tc>
        <w:tc>
          <w:tcPr>
            <w:tcW w:type="dxa" w:w="22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Étape</w:t>
            </w:r>
          </w:p>
        </w:tc>
        <w:tc>
          <w:tcPr>
            <w:tcW w:type="dxa" w:w="19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Acteur</w:t>
            </w:r>
          </w:p>
        </w:tc>
        <w:tc>
          <w:tcPr>
            <w:tcW w:type="dxa" w:w="18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Support</w:t>
            </w:r>
          </w:p>
        </w:tc>
        <w:tc>
          <w:tcPr>
            <w:tcW w:type="dxa" w:w="323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Difficulté observée</w:t>
            </w:r>
          </w:p>
        </w:tc>
      </w:tr>
      <w:tr>
        <w:trPr>
          <w:cantSplit/>
        </w:trPr>
        <w:tc>
          <w:tcPr>
            <w:tcW w:type="dxa" w:w="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1</w:t>
            </w:r>
          </w:p>
        </w:tc>
        <w:tc>
          <w:tcPr>
            <w:tcW w:type="dxa" w:w="22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Demande de transport</w:t>
            </w:r>
          </w:p>
        </w:tc>
        <w:tc>
          <w:tcPr>
            <w:tcW w:type="dxa" w:w="1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Client</w:t>
            </w:r>
          </w:p>
        </w:tc>
        <w:tc>
          <w:tcPr>
            <w:tcW w:type="dxa" w:w="18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Téléphone, e-mail</w:t>
            </w:r>
          </w:p>
        </w:tc>
        <w:tc>
          <w:tcPr>
            <w:tcW w:type="dxa" w:w="32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Demandes dispersées, sans traçabilité</w:t>
            </w:r>
          </w:p>
        </w:tc>
      </w:tr>
      <w:tr>
        <w:trPr>
          <w:cantSplit/>
        </w:trPr>
        <w:tc>
          <w:tcPr>
            <w:tcW w:type="dxa" w:w="5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2</w:t>
            </w:r>
          </w:p>
        </w:tc>
        <w:tc>
          <w:tcPr>
            <w:tcW w:type="dxa" w:w="22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Devis et confirmation</w:t>
            </w:r>
          </w:p>
        </w:tc>
        <w:tc>
          <w:tcPr>
            <w:tcW w:type="dxa" w:w="1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Assistantes, gérants</w:t>
            </w:r>
          </w:p>
        </w:tc>
        <w:tc>
          <w:tcPr>
            <w:tcW w:type="dxa" w:w="18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Excel, e-mail</w:t>
            </w:r>
          </w:p>
        </w:tc>
        <w:tc>
          <w:tcPr>
            <w:tcW w:type="dxa" w:w="32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Messagerie piratée : de faux devis ont circulé</w:t>
            </w:r>
          </w:p>
        </w:tc>
      </w:tr>
      <w:tr>
        <w:trPr>
          <w:cantSplit/>
        </w:trPr>
        <w:tc>
          <w:tcPr>
            <w:tcW w:type="dxa" w:w="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3</w:t>
            </w:r>
          </w:p>
        </w:tc>
        <w:tc>
          <w:tcPr>
            <w:tcW w:type="dxa" w:w="22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Planification des transports</w:t>
            </w:r>
          </w:p>
        </w:tc>
        <w:tc>
          <w:tcPr>
            <w:tcW w:type="dxa" w:w="1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Assistantes</w:t>
            </w:r>
          </w:p>
        </w:tc>
        <w:tc>
          <w:tcPr>
            <w:tcW w:type="dxa" w:w="18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Planning papier</w:t>
            </w:r>
          </w:p>
        </w:tc>
        <w:tc>
          <w:tcPr>
            <w:tcW w:type="dxa" w:w="32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Long à établir, difficile à modifier, une seule version</w:t>
            </w:r>
          </w:p>
        </w:tc>
      </w:tr>
      <w:tr>
        <w:trPr>
          <w:cantSplit/>
        </w:trPr>
        <w:tc>
          <w:tcPr>
            <w:tcW w:type="dxa" w:w="5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4</w:t>
            </w:r>
          </w:p>
        </w:tc>
        <w:tc>
          <w:tcPr>
            <w:tcW w:type="dxa" w:w="22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Renforts de haute saison</w:t>
            </w:r>
          </w:p>
        </w:tc>
        <w:tc>
          <w:tcPr>
            <w:tcW w:type="dxa" w:w="1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Assistantes, gérants</w:t>
            </w:r>
          </w:p>
        </w:tc>
        <w:tc>
          <w:tcPr>
            <w:tcW w:type="dxa" w:w="18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Téléphone</w:t>
            </w:r>
          </w:p>
        </w:tc>
        <w:tc>
          <w:tcPr>
            <w:tcW w:type="dxa" w:w="32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Location de camions et intérim gérés à la main</w:t>
            </w:r>
          </w:p>
        </w:tc>
      </w:tr>
      <w:tr>
        <w:trPr>
          <w:cantSplit/>
        </w:trPr>
        <w:tc>
          <w:tcPr>
            <w:tcW w:type="dxa" w:w="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5</w:t>
            </w:r>
          </w:p>
        </w:tc>
        <w:tc>
          <w:tcPr>
            <w:tcW w:type="dxa" w:w="22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Transmission du planning</w:t>
            </w:r>
          </w:p>
        </w:tc>
        <w:tc>
          <w:tcPr>
            <w:tcW w:type="dxa" w:w="1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Assistantes, chauffeurs</w:t>
            </w:r>
          </w:p>
        </w:tc>
        <w:tc>
          <w:tcPr>
            <w:tcW w:type="dxa" w:w="18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Papier, appels, SMS</w:t>
            </w:r>
          </w:p>
        </w:tc>
        <w:tc>
          <w:tcPr>
            <w:tcW w:type="dxa" w:w="32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Chauffeurs dépendants des assistantes pour connaître leur travail</w:t>
            </w:r>
          </w:p>
        </w:tc>
      </w:tr>
      <w:tr>
        <w:trPr>
          <w:cantSplit/>
        </w:trPr>
        <w:tc>
          <w:tcPr>
            <w:tcW w:type="dxa" w:w="5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6</w:t>
            </w:r>
          </w:p>
        </w:tc>
        <w:tc>
          <w:tcPr>
            <w:tcW w:type="dxa" w:w="22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Réalisation du transport</w:t>
            </w:r>
          </w:p>
        </w:tc>
        <w:tc>
          <w:tcPr>
            <w:tcW w:type="dxa" w:w="1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Chauffeur</w:t>
            </w:r>
          </w:p>
        </w:tc>
        <w:tc>
          <w:tcPr>
            <w:tcW w:type="dxa" w:w="18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Lettre de voiture papier</w:t>
            </w:r>
          </w:p>
        </w:tc>
        <w:tc>
          <w:tcPr>
            <w:tcW w:type="dxa" w:w="32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Risque de perte ou de document illisible</w:t>
            </w:r>
          </w:p>
        </w:tc>
      </w:tr>
      <w:tr>
        <w:trPr>
          <w:cantSplit/>
        </w:trPr>
        <w:tc>
          <w:tcPr>
            <w:tcW w:type="dxa" w:w="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7</w:t>
            </w:r>
          </w:p>
        </w:tc>
        <w:tc>
          <w:tcPr>
            <w:tcW w:type="dxa" w:w="22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Retour des documents</w:t>
            </w:r>
          </w:p>
        </w:tc>
        <w:tc>
          <w:tcPr>
            <w:tcW w:type="dxa" w:w="1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Chauffeur</w:t>
            </w:r>
          </w:p>
        </w:tc>
        <w:tc>
          <w:tcPr>
            <w:tcW w:type="dxa" w:w="18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Boîte aux lettres du local</w:t>
            </w:r>
          </w:p>
        </w:tc>
        <w:tc>
          <w:tcPr>
            <w:tcW w:type="dxa" w:w="32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Déplacements supplémentaires, facturation retardée</w:t>
            </w:r>
          </w:p>
        </w:tc>
      </w:tr>
      <w:tr>
        <w:trPr>
          <w:cantSplit/>
        </w:trPr>
        <w:tc>
          <w:tcPr>
            <w:tcW w:type="dxa" w:w="5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8</w:t>
            </w:r>
          </w:p>
        </w:tc>
        <w:tc>
          <w:tcPr>
            <w:tcW w:type="dxa" w:w="22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Collecte et saisie</w:t>
            </w:r>
          </w:p>
        </w:tc>
        <w:tc>
          <w:tcPr>
            <w:tcW w:type="dxa" w:w="1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Assistantes</w:t>
            </w:r>
          </w:p>
        </w:tc>
        <w:tc>
          <w:tcPr>
            <w:tcW w:type="dxa" w:w="18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DH DOC, Excel</w:t>
            </w:r>
          </w:p>
        </w:tc>
        <w:tc>
          <w:tcPr>
            <w:tcW w:type="dxa" w:w="32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Double saisie, erreurs</w:t>
            </w:r>
          </w:p>
        </w:tc>
      </w:tr>
      <w:tr>
        <w:trPr>
          <w:cantSplit/>
        </w:trPr>
        <w:tc>
          <w:tcPr>
            <w:tcW w:type="dxa" w:w="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9</w:t>
            </w:r>
          </w:p>
        </w:tc>
        <w:tc>
          <w:tcPr>
            <w:tcW w:type="dxa" w:w="22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Indexation gazole</w:t>
            </w:r>
          </w:p>
        </w:tc>
        <w:tc>
          <w:tcPr>
            <w:tcW w:type="dxa" w:w="1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Assistantes</w:t>
            </w:r>
          </w:p>
        </w:tc>
        <w:tc>
          <w:tcPr>
            <w:tcW w:type="dxa" w:w="18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Excel, indices CNR</w:t>
            </w:r>
          </w:p>
        </w:tc>
        <w:tc>
          <w:tcPr>
            <w:tcW w:type="dxa" w:w="32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Calcul manuel, risque d'erreur</w:t>
            </w:r>
          </w:p>
        </w:tc>
      </w:tr>
      <w:tr>
        <w:trPr>
          <w:cantSplit/>
        </w:trPr>
        <w:tc>
          <w:tcPr>
            <w:tcW w:type="dxa" w:w="5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10</w:t>
            </w:r>
          </w:p>
        </w:tc>
        <w:tc>
          <w:tcPr>
            <w:tcW w:type="dxa" w:w="22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Facturation</w:t>
            </w:r>
          </w:p>
        </w:tc>
        <w:tc>
          <w:tcPr>
            <w:tcW w:type="dxa" w:w="1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Assistantes</w:t>
            </w:r>
          </w:p>
        </w:tc>
        <w:tc>
          <w:tcPr>
            <w:tcW w:type="dxa" w:w="18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DH DOC, relevés</w:t>
            </w:r>
          </w:p>
        </w:tc>
        <w:tc>
          <w:tcPr>
            <w:tcW w:type="dxa" w:w="32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Factures émises tardivement, en fin de mois</w:t>
            </w:r>
          </w:p>
        </w:tc>
      </w:tr>
      <w:tr>
        <w:trPr>
          <w:cantSplit/>
        </w:trPr>
        <w:tc>
          <w:tcPr>
            <w:tcW w:type="dxa" w:w="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11</w:t>
            </w:r>
          </w:p>
        </w:tc>
        <w:tc>
          <w:tcPr>
            <w:tcW w:type="dxa" w:w="22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Paiement</w:t>
            </w:r>
          </w:p>
        </w:tc>
        <w:tc>
          <w:tcPr>
            <w:tcW w:type="dxa" w:w="1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Client</w:t>
            </w:r>
          </w:p>
        </w:tc>
        <w:tc>
          <w:tcPr>
            <w:tcW w:type="dxa" w:w="18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Virement, chèque</w:t>
            </w:r>
          </w:p>
        </w:tc>
        <w:tc>
          <w:tcPr>
            <w:tcW w:type="dxa" w:w="32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Délais de paiement allongés</w:t>
            </w:r>
          </w:p>
        </w:tc>
      </w:tr>
      <w:tr>
        <w:trPr>
          <w:cantSplit/>
        </w:trPr>
        <w:tc>
          <w:tcPr>
            <w:tcW w:type="dxa" w:w="5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12</w:t>
            </w:r>
          </w:p>
        </w:tc>
        <w:tc>
          <w:tcPr>
            <w:tcW w:type="dxa" w:w="22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Suivi et relances</w:t>
            </w:r>
          </w:p>
        </w:tc>
        <w:tc>
          <w:tcPr>
            <w:tcW w:type="dxa" w:w="1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Assistantes</w:t>
            </w:r>
          </w:p>
        </w:tc>
        <w:tc>
          <w:tcPr>
            <w:tcW w:type="dxa" w:w="18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Excel, téléphone</w:t>
            </w:r>
          </w:p>
        </w:tc>
        <w:tc>
          <w:tcPr>
            <w:tcW w:type="dxa" w:w="32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Relances irrégulières, pas de vision des impayés</w:t>
            </w:r>
          </w:p>
        </w:tc>
      </w:tr>
      <w:tr>
        <w:trPr>
          <w:cantSplit/>
        </w:trPr>
        <w:tc>
          <w:tcPr>
            <w:tcW w:type="dxa" w:w="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13</w:t>
            </w:r>
          </w:p>
        </w:tc>
        <w:tc>
          <w:tcPr>
            <w:tcW w:type="dxa" w:w="22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Transmission comptable</w:t>
            </w:r>
          </w:p>
        </w:tc>
        <w:tc>
          <w:tcPr>
            <w:tcW w:type="dxa" w:w="1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Assistantes, expert-comptable</w:t>
            </w:r>
          </w:p>
        </w:tc>
        <w:tc>
          <w:tcPr>
            <w:tcW w:type="dxa" w:w="18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Papier, e-mail</w:t>
            </w:r>
          </w:p>
        </w:tc>
        <w:tc>
          <w:tcPr>
            <w:tcW w:type="dxa" w:w="32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Ressaisie par le cabinet</w:t>
            </w:r>
          </w:p>
        </w:tc>
      </w:tr>
    </w:tbl>
    <w:p>
      <w:pPr>
        <w:spacing w:after="200" w:before="80"/>
        <w:jc w:val="center"/>
      </w:pPr>
      <w:r>
        <w:rPr>
          <w:i/>
          <w:iCs/>
          <w:color w:val="595959"/>
          <w:sz w:val="18"/>
          <w:szCs w:val="18"/>
        </w:rPr>
        <w:t xml:space="preserve">Tableau 5 – Description du processus actuel et des difficultés observées</w:t>
      </w:r>
    </w:p>
    <w:p>
      <w:pPr>
        <w:pStyle w:val="Heading2"/>
      </w:pPr>
      <w:r>
        <w:t xml:space="preserve">2.2. Analyse du processus actuel</w:t>
      </w:r>
    </w:p>
    <w:p>
      <w:pPr>
        <w:keepNext/>
        <w:spacing w:after="120" w:before="0"/>
        <w:jc w:val="both"/>
      </w:pPr>
      <w:r>
        <w:t xml:space="preserve">Cette première modélisation met en évidence trois constats :</w:t>
      </w:r>
    </w:p>
    <w:p>
      <w:pPr>
        <w:pStyle w:val="ListParagraph"/>
        <w:numPr>
          <w:ilvl w:val="0"/>
          <w:numId w:val="2"/>
        </w:numPr>
        <w:spacing w:after="60"/>
        <w:jc w:val="both"/>
      </w:pPr>
      <w:r>
        <w:rPr>
          <w:b/>
          <w:bCs/>
        </w:rPr>
        <w:t xml:space="preserve">Un goulot d'étranglement</w:t>
      </w:r>
      <w:r>
        <w:t xml:space="preserve"> : 9 des 13 étapes mobilisent les assistantes de direction, qui sont le point de passage obligé de toute l'information.</w:t>
      </w:r>
    </w:p>
    <w:p>
      <w:pPr>
        <w:pStyle w:val="ListParagraph"/>
        <w:numPr>
          <w:ilvl w:val="0"/>
          <w:numId w:val="2"/>
        </w:numPr>
        <w:spacing w:after="60"/>
        <w:jc w:val="both"/>
      </w:pPr>
      <w:r>
        <w:rPr>
          <w:b/>
          <w:bCs/>
        </w:rPr>
        <w:t xml:space="preserve">Des ruptures de support</w:t>
      </w:r>
      <w:r>
        <w:t xml:space="preserve"> : une même information passe de l'oral au papier, puis à Excel ou DH DOC, avec à chaque fois une perte de temps et un risque d'erreur.</w:t>
      </w:r>
    </w:p>
    <w:p>
      <w:pPr>
        <w:pStyle w:val="ListParagraph"/>
        <w:numPr>
          <w:ilvl w:val="0"/>
          <w:numId w:val="2"/>
        </w:numPr>
        <w:spacing w:after="60"/>
        <w:jc w:val="both"/>
      </w:pPr>
      <w:r>
        <w:rPr>
          <w:b/>
          <w:bCs/>
        </w:rPr>
        <w:t xml:space="preserve">Un décalage entre livraison et facturation</w:t>
      </w:r>
      <w:r>
        <w:t xml:space="preserve"> : la facture ne peut être établie qu'après le retour physique des lettres de voiture et le calcul manuel de l'indexation. La trésorerie dépend donc de la vitesse de circulation du papier.</w:t>
      </w:r>
    </w:p>
    <w:p>
      <w:pPr>
        <w:pStyle w:val="Heading2"/>
        <w:pageBreakBefore/>
      </w:pPr>
      <w:r>
        <w:t xml:space="preserve">2.3. Le processus cible</w:t>
      </w:r>
    </w:p>
    <w:p>
      <w:pPr>
        <w:spacing w:after="120" w:before="0"/>
        <w:jc w:val="both"/>
      </w:pPr>
      <w:r>
        <w:t xml:space="preserve">Le processus cible conserve les mêmes étapes métier, mais le SaaS prend en charge les transmissions, les calculs et les relances. L'assistante n'intervient plus que pour décider et contrôler : valider le devis, organiser le planning et vérifier les factures. Le tableau ci-dessous compare les deux situations ; la figure 2, page suivante, représente le processus cible.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338"/>
      </w:tblGrid>
      <w:tr>
        <w:trPr>
          <w:cantSplit/>
          <w:tblHeader/>
        </w:trPr>
        <w:tc>
          <w:tcPr>
            <w:tcW w:type="dxa" w:w="23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Étape</w:t>
            </w:r>
          </w:p>
        </w:tc>
        <w:tc>
          <w:tcPr>
            <w:tcW w:type="dxa" w:w="30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Avant</w:t>
            </w:r>
          </w:p>
        </w:tc>
        <w:tc>
          <w:tcPr>
            <w:tcW w:type="dxa" w:w="433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Après (site internet et SaaS)</w:t>
            </w:r>
          </w:p>
        </w:tc>
      </w:tr>
      <w:tr>
        <w:trPr>
          <w:cantSplit/>
        </w:trPr>
        <w:tc>
          <w:tcPr>
            <w:tcW w:type="dxa" w:w="23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Demande client</w:t>
            </w:r>
          </w:p>
        </w:tc>
        <w:tc>
          <w:tcPr>
            <w:tcW w:type="dxa" w:w="30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Téléphone, e-mail</w:t>
            </w:r>
          </w:p>
        </w:tc>
        <w:tc>
          <w:tcPr>
            <w:tcW w:type="dxa" w:w="43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Formulaire de devis sur le site, enregistré dans le SaaS</w:t>
            </w:r>
          </w:p>
        </w:tc>
      </w:tr>
      <w:tr>
        <w:trPr>
          <w:cantSplit/>
        </w:trPr>
        <w:tc>
          <w:tcPr>
            <w:tcW w:type="dxa" w:w="23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Planning</w:t>
            </w:r>
          </w:p>
        </w:tc>
        <w:tc>
          <w:tcPr>
            <w:tcW w:type="dxa" w:w="30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Papier, transmis à la main</w:t>
            </w:r>
          </w:p>
        </w:tc>
        <w:tc>
          <w:tcPr>
            <w:tcW w:type="dxa" w:w="43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Planning partagé, notifié sur le smartphone des chauffeurs</w:t>
            </w:r>
          </w:p>
        </w:tc>
      </w:tr>
      <w:tr>
        <w:trPr>
          <w:cantSplit/>
        </w:trPr>
        <w:tc>
          <w:tcPr>
            <w:tcW w:type="dxa" w:w="23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Lettres de voiture</w:t>
            </w:r>
          </w:p>
        </w:tc>
        <w:tc>
          <w:tcPr>
            <w:tcW w:type="dxa" w:w="30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Papier déposé au local</w:t>
            </w:r>
          </w:p>
        </w:tc>
        <w:tc>
          <w:tcPr>
            <w:tcW w:type="dxa" w:w="43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Numérisées sur smartphone et reçues en temps réel</w:t>
            </w:r>
          </w:p>
        </w:tc>
      </w:tr>
      <w:tr>
        <w:trPr>
          <w:cantSplit/>
        </w:trPr>
        <w:tc>
          <w:tcPr>
            <w:tcW w:type="dxa" w:w="23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Indexation gazole</w:t>
            </w:r>
          </w:p>
        </w:tc>
        <w:tc>
          <w:tcPr>
            <w:tcW w:type="dxa" w:w="30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Calcul manuel mensuel</w:t>
            </w:r>
          </w:p>
        </w:tc>
        <w:tc>
          <w:tcPr>
            <w:tcW w:type="dxa" w:w="43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Calcul automatique à partir de l'indice du CNR</w:t>
            </w:r>
          </w:p>
        </w:tc>
      </w:tr>
      <w:tr>
        <w:trPr>
          <w:cantSplit/>
        </w:trPr>
        <w:tc>
          <w:tcPr>
            <w:tcW w:type="dxa" w:w="23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Facturation</w:t>
            </w:r>
          </w:p>
        </w:tc>
        <w:tc>
          <w:tcPr>
            <w:tcW w:type="dxa" w:w="30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Saisie en fin de mois</w:t>
            </w:r>
          </w:p>
        </w:tc>
        <w:tc>
          <w:tcPr>
            <w:tcW w:type="dxa" w:w="43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Pré-facture préparée par l'IA dès la livraison, validée par l'assistante</w:t>
            </w:r>
          </w:p>
        </w:tc>
      </w:tr>
      <w:tr>
        <w:trPr>
          <w:cantSplit/>
        </w:trPr>
        <w:tc>
          <w:tcPr>
            <w:tcW w:type="dxa" w:w="23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Envoi des factures</w:t>
            </w:r>
          </w:p>
        </w:tc>
        <w:tc>
          <w:tcPr>
            <w:tcW w:type="dxa" w:w="30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E-mail ou courrier</w:t>
            </w:r>
          </w:p>
        </w:tc>
        <w:tc>
          <w:tcPr>
            <w:tcW w:type="dxa" w:w="43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Facture électronique via une plateforme agréée</w:t>
            </w:r>
          </w:p>
        </w:tc>
      </w:tr>
      <w:tr>
        <w:trPr>
          <w:cantSplit/>
        </w:trPr>
        <w:tc>
          <w:tcPr>
            <w:tcW w:type="dxa" w:w="23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Relances</w:t>
            </w:r>
          </w:p>
        </w:tc>
        <w:tc>
          <w:tcPr>
            <w:tcW w:type="dxa" w:w="30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Ponctuelles, manuelles</w:t>
            </w:r>
          </w:p>
        </w:tc>
        <w:tc>
          <w:tcPr>
            <w:tcW w:type="dxa" w:w="43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Automatiques, selon un scénario défini</w:t>
            </w:r>
          </w:p>
        </w:tc>
      </w:tr>
      <w:tr>
        <w:trPr>
          <w:cantSplit/>
        </w:trPr>
        <w:tc>
          <w:tcPr>
            <w:tcW w:type="dxa" w:w="23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Suivi</w:t>
            </w:r>
          </w:p>
        </w:tc>
        <w:tc>
          <w:tcPr>
            <w:tcW w:type="dxa" w:w="30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Fichiers Excel</w:t>
            </w:r>
          </w:p>
        </w:tc>
        <w:tc>
          <w:tcPr>
            <w:tcW w:type="dxa" w:w="43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Tableau de bord en temps réel</w:t>
            </w:r>
          </w:p>
        </w:tc>
      </w:tr>
      <w:tr>
        <w:trPr>
          <w:cantSplit/>
        </w:trPr>
        <w:tc>
          <w:tcPr>
            <w:tcW w:type="dxa" w:w="23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Comptabilité</w:t>
            </w:r>
          </w:p>
        </w:tc>
        <w:tc>
          <w:tcPr>
            <w:tcW w:type="dxa" w:w="30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Ressaisie par le cabinet</w:t>
            </w:r>
          </w:p>
        </w:tc>
        <w:tc>
          <w:tcPr>
            <w:tcW w:type="dxa" w:w="43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Export automatique</w:t>
            </w:r>
          </w:p>
        </w:tc>
      </w:tr>
    </w:tbl>
    <w:p>
      <w:pPr>
        <w:spacing w:after="200" w:before="80"/>
        <w:jc w:val="center"/>
      </w:pPr>
      <w:r>
        <w:rPr>
          <w:i/>
          <w:iCs/>
          <w:color w:val="595959"/>
          <w:sz w:val="18"/>
          <w:szCs w:val="18"/>
        </w:rPr>
        <w:t xml:space="preserve">Tableau 6 – Comparaison du processus avant et après le projet</w:t>
      </w:r>
    </w:p>
    <w:p>
      <w:pPr>
        <w:spacing w:after="120" w:before="0"/>
        <w:jc w:val="both"/>
      </w:pPr>
      <w:r>
        <w:t xml:space="preserve">Dans le processus cible, </w:t>
      </w:r>
      <w:r>
        <w:rPr>
          <w:b/>
          <w:bCs/>
        </w:rPr>
        <w:t xml:space="preserve">7 des 13 étapes sont entièrement automatisées</w:t>
      </w:r>
      <w:r>
        <w:t xml:space="preserve"> et l'assistante n'intervient plus qu'à 2 étapes, contre 9 aujourd'hui. Les chauffeurs gagnent en autonomie et le client reçoit sa facture plus rapidement.</w:t>
      </w:r>
    </w:p>
    <w:p>
      <w:pPr>
        <w:keepNext/>
        <w:pageBreakBefore/>
        <w:spacing w:after="40" w:before="120"/>
        <w:jc w:val="center"/>
      </w:pPr>
      <w:r>
        <w:drawing>
          <wp:inline distT="0" distB="0" distL="0" distR="0">
            <wp:extent cx="5905500" cy="6457950"/>
            <wp:effectExtent t="0" r="0" b="0" l="0"/>
            <wp:docPr id="1" name="process_tobe.png" descr="Schéma de processus" title="process_tob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6457950"/>
                    </a:xfrm>
                    <a:prstGeom prst="rect">
                      <a:avLst/>
                    </a:prstGeom>
                  </pic:spPr>
                </pic:pic>
              </a:graphicData>
            </a:graphic>
          </wp:inline>
        </w:drawing>
      </w:r>
    </w:p>
    <w:p>
      <w:pPr>
        <w:spacing w:after="200" w:before="80"/>
        <w:jc w:val="center"/>
      </w:pPr>
      <w:r>
        <w:rPr>
          <w:i/>
          <w:iCs/>
          <w:color w:val="595959"/>
          <w:sz w:val="18"/>
          <w:szCs w:val="18"/>
        </w:rPr>
        <w:t xml:space="preserve">Figure 2 – Processus cible avec le site internet et le SaaS</w:t>
      </w:r>
    </w:p>
    <w:p>
      <w:pPr>
        <w:pStyle w:val="Heading1"/>
        <w:pageBreakBefore/>
      </w:pPr>
      <w:r>
        <w:t xml:space="preserve">3. État des lieux de l'équipement informatique</w:t>
      </w:r>
    </w:p>
    <w:p>
      <w:pPr>
        <w:pStyle w:val="Heading2"/>
      </w:pPr>
      <w:r>
        <w:t xml:space="preserve">3.1. Nombre d'utilisateurs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3000"/>
        <w:gridCol w:w="2938"/>
      </w:tblGrid>
      <w:tr>
        <w:trPr>
          <w:cantSplit/>
          <w:tblHeader/>
        </w:trPr>
        <w:tc>
          <w:tcPr>
            <w:tcW w:type="dxa" w:w="23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Profil</w:t>
            </w:r>
          </w:p>
        </w:tc>
        <w:tc>
          <w:tcPr>
            <w:tcW w:type="dxa" w:w="14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Nombre</w:t>
            </w:r>
          </w:p>
        </w:tc>
        <w:tc>
          <w:tcPr>
            <w:tcW w:type="dxa" w:w="30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Usage actuel de l'informatique</w:t>
            </w:r>
          </w:p>
        </w:tc>
        <w:tc>
          <w:tcPr>
            <w:tcW w:type="dxa" w:w="293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Usage après le projet</w:t>
            </w:r>
          </w:p>
        </w:tc>
      </w:tr>
      <w:tr>
        <w:trPr>
          <w:cantSplit/>
        </w:trPr>
        <w:tc>
          <w:tcPr>
            <w:tcW w:type="dxa" w:w="23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Co-gérants</w:t>
            </w:r>
          </w:p>
        </w:tc>
        <w:tc>
          <w:tcPr>
            <w:tcW w:type="dxa" w:w="14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2</w:t>
            </w:r>
          </w:p>
        </w:tc>
        <w:tc>
          <w:tcPr>
            <w:tcW w:type="dxa" w:w="30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Messagerie, téléphone, consultation de fichiers Excel</w:t>
            </w:r>
          </w:p>
        </w:tc>
        <w:tc>
          <w:tcPr>
            <w:tcW w:type="dxa" w:w="29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Tableau de bord, validation, suivi du projet</w:t>
            </w:r>
          </w:p>
        </w:tc>
      </w:tr>
      <w:tr>
        <w:trPr>
          <w:cantSplit/>
        </w:trPr>
        <w:tc>
          <w:tcPr>
            <w:tcW w:type="dxa" w:w="23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Assistantes de direction</w:t>
            </w:r>
          </w:p>
        </w:tc>
        <w:tc>
          <w:tcPr>
            <w:tcW w:type="dxa" w:w="14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2 (1 à terme)</w:t>
            </w:r>
          </w:p>
        </w:tc>
        <w:tc>
          <w:tcPr>
            <w:tcW w:type="dxa" w:w="30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Usage intensif : DH DOC, Excel, messagerie</w:t>
            </w:r>
          </w:p>
        </w:tc>
        <w:tc>
          <w:tcPr>
            <w:tcW w:type="dxa" w:w="29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Utilisatrice principale du SaaS</w:t>
            </w:r>
          </w:p>
        </w:tc>
      </w:tr>
      <w:tr>
        <w:trPr>
          <w:cantSplit/>
        </w:trPr>
        <w:tc>
          <w:tcPr>
            <w:tcW w:type="dxa" w:w="23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Chauffeurs en CDI</w:t>
            </w:r>
          </w:p>
        </w:tc>
        <w:tc>
          <w:tcPr>
            <w:tcW w:type="dxa" w:w="14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5 à 6</w:t>
            </w:r>
          </w:p>
        </w:tc>
        <w:tc>
          <w:tcPr>
            <w:tcW w:type="dxa" w:w="30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Aucun outil : papier et téléphone</w:t>
            </w:r>
          </w:p>
        </w:tc>
        <w:tc>
          <w:tcPr>
            <w:tcW w:type="dxa" w:w="29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Application mobile : planning, lettres de voiture</w:t>
            </w:r>
          </w:p>
        </w:tc>
      </w:tr>
      <w:tr>
        <w:trPr>
          <w:cantSplit/>
        </w:trPr>
        <w:tc>
          <w:tcPr>
            <w:tcW w:type="dxa" w:w="23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Intérimaires</w:t>
            </w:r>
          </w:p>
        </w:tc>
        <w:tc>
          <w:tcPr>
            <w:tcW w:type="dxa" w:w="14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Jusqu'à 20</w:t>
            </w:r>
          </w:p>
        </w:tc>
        <w:tc>
          <w:tcPr>
            <w:tcW w:type="dxa" w:w="30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Aucun outil</w:t>
            </w:r>
          </w:p>
        </w:tc>
        <w:tc>
          <w:tcPr>
            <w:tcW w:type="dxa" w:w="29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Accès mobile temporaire pendant la mission</w:t>
            </w:r>
          </w:p>
        </w:tc>
      </w:tr>
      <w:tr>
        <w:trPr>
          <w:cantSplit/>
        </w:trPr>
        <w:tc>
          <w:tcPr>
            <w:tcW w:type="dxa" w:w="23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Expert-comptable</w:t>
            </w:r>
          </w:p>
        </w:tc>
        <w:tc>
          <w:tcPr>
            <w:tcW w:type="dxa" w:w="14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1 cabinet</w:t>
            </w:r>
          </w:p>
        </w:tc>
        <w:tc>
          <w:tcPr>
            <w:tcW w:type="dxa" w:w="30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Réception des pièces</w:t>
            </w:r>
          </w:p>
        </w:tc>
        <w:tc>
          <w:tcPr>
            <w:tcW w:type="dxa" w:w="29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Accès aux exports comptables</w:t>
            </w:r>
          </w:p>
        </w:tc>
      </w:tr>
    </w:tbl>
    <w:p>
      <w:pPr>
        <w:spacing w:after="200" w:before="80"/>
        <w:jc w:val="center"/>
      </w:pPr>
      <w:r>
        <w:rPr>
          <w:i/>
          <w:iCs/>
          <w:color w:val="595959"/>
          <w:sz w:val="18"/>
          <w:szCs w:val="18"/>
        </w:rPr>
        <w:t xml:space="preserve">Tableau 7 – Utilisateurs actuels et futurs du système d'information</w:t>
      </w:r>
    </w:p>
    <w:p>
      <w:pPr>
        <w:spacing w:after="120" w:before="0"/>
        <w:jc w:val="both"/>
      </w:pPr>
      <w:r>
        <w:t xml:space="preserve">Aujourd'hui, seules </w:t>
      </w:r>
      <w:r>
        <w:rPr>
          <w:b/>
          <w:bCs/>
        </w:rPr>
        <w:t xml:space="preserve">4 personnes</w:t>
      </w:r>
      <w:r>
        <w:t xml:space="preserve"> utilisent réellement l'informatique : les deux gérants et les deux assistantes. Après le projet, l'ensemble des salariés deviendront utilisateurs, soit une dizaine d'utilisateurs permanents et jusqu'à une trentaine en haute saison. Ce changement d'échelle doit guider le choix d'un outil simple, dont la tarification s'adapte à la saisonnalité (par véhicule ou par utilisateur actif).</w:t>
      </w:r>
    </w:p>
    <w:p>
      <w:pPr>
        <w:pStyle w:val="Heading2"/>
      </w:pPr>
      <w:r>
        <w:t xml:space="preserve">3.2. Parc machines, serveurs, réseau et imprimantes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900"/>
        <w:gridCol w:w="3738"/>
      </w:tblGrid>
      <w:tr>
        <w:trPr>
          <w:cantSplit/>
          <w:tblHeader/>
        </w:trPr>
        <w:tc>
          <w:tcPr>
            <w:tcW w:type="dxa" w:w="17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Catégorie</w:t>
            </w:r>
          </w:p>
        </w:tc>
        <w:tc>
          <w:tcPr>
            <w:tcW w:type="dxa" w:w="33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Équipement</w:t>
            </w:r>
          </w:p>
        </w:tc>
        <w:tc>
          <w:tcPr>
            <w:tcW w:type="dxa" w:w="9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Qté</w:t>
            </w:r>
          </w:p>
        </w:tc>
        <w:tc>
          <w:tcPr>
            <w:tcW w:type="dxa" w:w="373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Constat</w:t>
            </w:r>
          </w:p>
        </w:tc>
      </w:tr>
      <w:tr>
        <w:trPr>
          <w:cantSplit/>
        </w:trPr>
        <w:tc>
          <w:tcPr>
            <w:tcW w:type="dxa" w:w="1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Postes de travail</w:t>
            </w:r>
          </w:p>
        </w:tc>
        <w:tc>
          <w:tcPr>
            <w:tcW w:type="dxa" w:w="33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Ordinateurs de bureau des assistantes</w:t>
            </w:r>
          </w:p>
        </w:tc>
        <w:tc>
          <w:tcPr>
            <w:tcW w:type="dxa" w:w="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2</w:t>
            </w:r>
          </w:p>
        </w:tc>
        <w:tc>
          <w:tcPr>
            <w:tcW w:type="dxa" w:w="37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Usage bureautique ; fichiers enregistrés uniquement sur les postes</w:t>
            </w:r>
          </w:p>
        </w:tc>
      </w:tr>
      <w:tr>
        <w:trPr>
          <w:cantSplit/>
        </w:trPr>
        <w:tc>
          <w:tcPr>
            <w:tcW w:type="dxa" w:w="17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33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Ordinateur portable des gérants</w:t>
            </w:r>
          </w:p>
        </w:tc>
        <w:tc>
          <w:tcPr>
            <w:tcW w:type="dxa" w:w="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1</w:t>
            </w:r>
          </w:p>
        </w:tc>
        <w:tc>
          <w:tcPr>
            <w:tcW w:type="dxa" w:w="37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Messagerie et consultation des fichiers</w:t>
            </w:r>
          </w:p>
        </w:tc>
      </w:tr>
      <w:tr>
        <w:trPr>
          <w:cantSplit/>
        </w:trPr>
        <w:tc>
          <w:tcPr>
            <w:tcW w:type="dxa" w:w="1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Mobiles</w:t>
            </w:r>
          </w:p>
        </w:tc>
        <w:tc>
          <w:tcPr>
            <w:tcW w:type="dxa" w:w="33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Smartphones des gérants</w:t>
            </w:r>
          </w:p>
        </w:tc>
        <w:tc>
          <w:tcPr>
            <w:tcW w:type="dxa" w:w="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2</w:t>
            </w:r>
          </w:p>
        </w:tc>
        <w:tc>
          <w:tcPr>
            <w:tcW w:type="dxa" w:w="37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Appels et messagerie</w:t>
            </w:r>
          </w:p>
        </w:tc>
      </w:tr>
      <w:tr>
        <w:trPr>
          <w:cantSplit/>
        </w:trPr>
        <w:tc>
          <w:tcPr>
            <w:tcW w:type="dxa" w:w="17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33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Smartphones des chauffeurs</w:t>
            </w:r>
          </w:p>
        </w:tc>
        <w:tc>
          <w:tcPr>
            <w:tcW w:type="dxa" w:w="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Perso.</w:t>
            </w:r>
          </w:p>
        </w:tc>
        <w:tc>
          <w:tcPr>
            <w:tcW w:type="dxa" w:w="37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Aucune application professionnelle</w:t>
            </w:r>
          </w:p>
        </w:tc>
      </w:tr>
      <w:tr>
        <w:trPr>
          <w:cantSplit/>
        </w:trPr>
        <w:tc>
          <w:tcPr>
            <w:tcW w:type="dxa" w:w="1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Véhicules</w:t>
            </w:r>
          </w:p>
        </w:tc>
        <w:tc>
          <w:tcPr>
            <w:tcW w:type="dxa" w:w="33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Chronotachygraphes numériques</w:t>
            </w:r>
          </w:p>
        </w:tc>
        <w:tc>
          <w:tcPr>
            <w:tcW w:type="dxa" w:w="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7 + loc.</w:t>
            </w:r>
          </w:p>
        </w:tc>
        <w:tc>
          <w:tcPr>
            <w:tcW w:type="dxa" w:w="37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Équipement obligatoire ; données à télécharger régulièrement</w:t>
            </w:r>
          </w:p>
        </w:tc>
      </w:tr>
      <w:tr>
        <w:trPr>
          <w:cantSplit/>
        </w:trPr>
        <w:tc>
          <w:tcPr>
            <w:tcW w:type="dxa" w:w="17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Serveurs</w:t>
            </w:r>
          </w:p>
        </w:tc>
        <w:tc>
          <w:tcPr>
            <w:tcW w:type="dxa" w:w="33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Serveur ou NAS</w:t>
            </w:r>
          </w:p>
        </w:tc>
        <w:tc>
          <w:tcPr>
            <w:tcW w:type="dxa" w:w="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0</w:t>
            </w:r>
          </w:p>
        </w:tc>
        <w:tc>
          <w:tcPr>
            <w:tcW w:type="dxa" w:w="37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Aucun stockage centralisé</w:t>
            </w:r>
          </w:p>
        </w:tc>
      </w:tr>
      <w:tr>
        <w:trPr>
          <w:cantSplit/>
        </w:trPr>
        <w:tc>
          <w:tcPr>
            <w:tcW w:type="dxa" w:w="1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Réseau</w:t>
            </w:r>
          </w:p>
        </w:tc>
        <w:tc>
          <w:tcPr>
            <w:tcW w:type="dxa" w:w="33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Box internet de l'opérateur (routeur et Wi-Fi intégrés)</w:t>
            </w:r>
          </w:p>
        </w:tc>
        <w:tc>
          <w:tcPr>
            <w:tcW w:type="dxa" w:w="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1</w:t>
            </w:r>
          </w:p>
        </w:tc>
        <w:tc>
          <w:tcPr>
            <w:tcW w:type="dxa" w:w="37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Réseau unique, sans séparation entre usages professionnels et invités</w:t>
            </w:r>
          </w:p>
        </w:tc>
      </w:tr>
      <w:tr>
        <w:trPr>
          <w:cantSplit/>
        </w:trPr>
        <w:tc>
          <w:tcPr>
            <w:tcW w:type="dxa" w:w="17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33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Câblage et bornes Wi-Fi</w:t>
            </w:r>
          </w:p>
        </w:tc>
        <w:tc>
          <w:tcPr>
            <w:tcW w:type="dxa" w:w="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w:t>
            </w:r>
          </w:p>
        </w:tc>
        <w:tc>
          <w:tcPr>
            <w:tcW w:type="dxa" w:w="37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Réseau limité au bureau ; entrepôt peu couvert</w:t>
            </w:r>
          </w:p>
        </w:tc>
      </w:tr>
      <w:tr>
        <w:trPr>
          <w:cantSplit/>
        </w:trPr>
        <w:tc>
          <w:tcPr>
            <w:tcW w:type="dxa" w:w="1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Impression</w:t>
            </w:r>
          </w:p>
        </w:tc>
        <w:tc>
          <w:tcPr>
            <w:tcW w:type="dxa" w:w="33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Imprimante multifonction (impression, copie, numérisation)</w:t>
            </w:r>
          </w:p>
        </w:tc>
        <w:tc>
          <w:tcPr>
            <w:tcW w:type="dxa" w:w="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1</w:t>
            </w:r>
          </w:p>
        </w:tc>
        <w:tc>
          <w:tcPr>
            <w:tcW w:type="dxa" w:w="37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Très sollicitée par les plannings, relevés et factures</w:t>
            </w:r>
          </w:p>
        </w:tc>
      </w:tr>
      <w:tr>
        <w:trPr>
          <w:cantSplit/>
        </w:trPr>
        <w:tc>
          <w:tcPr>
            <w:tcW w:type="dxa" w:w="17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Téléphonie</w:t>
            </w:r>
          </w:p>
        </w:tc>
        <w:tc>
          <w:tcPr>
            <w:tcW w:type="dxa" w:w="33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Ligne fixe et téléphones mobiles</w:t>
            </w:r>
          </w:p>
        </w:tc>
        <w:tc>
          <w:tcPr>
            <w:tcW w:type="dxa" w:w="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w:t>
            </w:r>
          </w:p>
        </w:tc>
        <w:tc>
          <w:tcPr>
            <w:tcW w:type="dxa" w:w="37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Principal canal de transmission du planning</w:t>
            </w:r>
          </w:p>
        </w:tc>
      </w:tr>
    </w:tbl>
    <w:p>
      <w:pPr>
        <w:spacing w:after="200" w:before="80"/>
        <w:jc w:val="center"/>
      </w:pPr>
      <w:r>
        <w:rPr>
          <w:i/>
          <w:iCs/>
          <w:color w:val="595959"/>
          <w:sz w:val="18"/>
          <w:szCs w:val="18"/>
        </w:rPr>
        <w:t xml:space="preserve">Tableau 8 – Inventaire du parc informatique et du réseau</w:t>
      </w:r>
    </w:p>
    <w:p>
      <w:pPr>
        <w:spacing w:after="120" w:before="0"/>
        <w:jc w:val="both"/>
      </w:pPr>
      <w:r>
        <w:t xml:space="preserve">Le parc est réduit mais suffisant pour un usage bureautique. Le projet ne nécessite donc pas d'investissement matériel lourd : un SaaS fonctionne depuis un simple navigateur ou un smartphone. Les principaux besoins concernent l'équipement des chauffeurs et la sécurisation du réseau. Conformément à l'approche RSE développée en partie 1, nous privilégions l'allongement de la durée de vie des postes existants et, pour les nouveaux équipements, le matériel reconditionné.</w:t>
      </w:r>
    </w:p>
    <w:p>
      <w:pPr>
        <w:pStyle w:val="Heading2"/>
      </w:pPr>
      <w:r>
        <w:t xml:space="preserve">3.3. Logiciels, progiciels et solutions cloud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1900"/>
        <w:gridCol w:w="2738"/>
      </w:tblGrid>
      <w:tr>
        <w:trPr>
          <w:cantSplit/>
          <w:tblHeader/>
        </w:trPr>
        <w:tc>
          <w:tcPr>
            <w:tcW w:type="dxa" w:w="21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Outil</w:t>
            </w:r>
          </w:p>
        </w:tc>
        <w:tc>
          <w:tcPr>
            <w:tcW w:type="dxa" w:w="29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Usage</w:t>
            </w:r>
          </w:p>
        </w:tc>
        <w:tc>
          <w:tcPr>
            <w:tcW w:type="dxa" w:w="19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Type</w:t>
            </w:r>
          </w:p>
        </w:tc>
        <w:tc>
          <w:tcPr>
            <w:tcW w:type="dxa" w:w="273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Limites constatées</w:t>
            </w:r>
          </w:p>
        </w:tc>
      </w:tr>
      <w:tr>
        <w:trPr>
          <w:cantSplit/>
        </w:trPr>
        <w:tc>
          <w:tcPr>
            <w:tcW w:type="dxa" w:w="21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DH DOC</w:t>
            </w:r>
          </w:p>
        </w:tc>
        <w:tc>
          <w:tcPr>
            <w:tcW w:type="dxa" w:w="2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Gestion d'une partie des documents et de la facturation</w:t>
            </w:r>
          </w:p>
        </w:tc>
        <w:tc>
          <w:tcPr>
            <w:tcW w:type="dxa" w:w="1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Logiciel métier</w:t>
            </w:r>
          </w:p>
        </w:tc>
        <w:tc>
          <w:tcPr>
            <w:tcW w:type="dxa" w:w="27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Sous-exploité, non relié au planning ni aux relances</w:t>
            </w:r>
          </w:p>
        </w:tc>
      </w:tr>
      <w:tr>
        <w:trPr>
          <w:cantSplit/>
        </w:trPr>
        <w:tc>
          <w:tcPr>
            <w:tcW w:type="dxa" w:w="21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Microsoft Excel</w:t>
            </w:r>
          </w:p>
        </w:tc>
        <w:tc>
          <w:tcPr>
            <w:tcW w:type="dxa" w:w="2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Suivi des factures, calcul de l'indexation gazole, tableaux divers</w:t>
            </w:r>
          </w:p>
        </w:tc>
        <w:tc>
          <w:tcPr>
            <w:tcW w:type="dxa" w:w="1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Tableur installé sur les postes</w:t>
            </w:r>
          </w:p>
        </w:tc>
        <w:tc>
          <w:tcPr>
            <w:tcW w:type="dxa" w:w="27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Fichiers multiples, erreurs de formules et de versions</w:t>
            </w:r>
          </w:p>
        </w:tc>
      </w:tr>
      <w:tr>
        <w:trPr>
          <w:cantSplit/>
        </w:trPr>
        <w:tc>
          <w:tcPr>
            <w:tcW w:type="dxa" w:w="21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Messagerie électronique</w:t>
            </w:r>
          </w:p>
        </w:tc>
        <w:tc>
          <w:tcPr>
            <w:tcW w:type="dxa" w:w="2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Échanges clients, devis, factures</w:t>
            </w:r>
          </w:p>
        </w:tc>
        <w:tc>
          <w:tcPr>
            <w:tcW w:type="dxa" w:w="1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Messagerie en ligne</w:t>
            </w:r>
          </w:p>
        </w:tc>
        <w:tc>
          <w:tcPr>
            <w:tcW w:type="dxa" w:w="27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Très peu sécurisée : piratage et envoi de faux devis</w:t>
            </w:r>
          </w:p>
        </w:tc>
      </w:tr>
      <w:tr>
        <w:trPr>
          <w:cantSplit/>
        </w:trPr>
        <w:tc>
          <w:tcPr>
            <w:tcW w:type="dxa" w:w="21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Données des chronotachygraphes</w:t>
            </w:r>
          </w:p>
        </w:tc>
        <w:tc>
          <w:tcPr>
            <w:tcW w:type="dxa" w:w="2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Temps de conduite et de repos (obligation réglementaire)</w:t>
            </w:r>
          </w:p>
        </w:tc>
        <w:tc>
          <w:tcPr>
            <w:tcW w:type="dxa" w:w="1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Outil spécifique ou prestataire</w:t>
            </w:r>
          </w:p>
        </w:tc>
        <w:tc>
          <w:tcPr>
            <w:tcW w:type="dxa" w:w="27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Non relié aux autres outils</w:t>
            </w:r>
          </w:p>
        </w:tc>
      </w:tr>
      <w:tr>
        <w:trPr>
          <w:cantSplit/>
        </w:trPr>
        <w:tc>
          <w:tcPr>
            <w:tcW w:type="dxa" w:w="21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Solutions cloud</w:t>
            </w:r>
          </w:p>
        </w:tc>
        <w:tc>
          <w:tcPr>
            <w:tcW w:type="dxa" w:w="2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w:t>
            </w:r>
          </w:p>
        </w:tc>
        <w:tc>
          <w:tcPr>
            <w:tcW w:type="dxa" w:w="1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w:t>
            </w:r>
          </w:p>
        </w:tc>
        <w:tc>
          <w:tcPr>
            <w:tcW w:type="dxa" w:w="27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Aucune solution cloud structurée (stockage, sauvegarde, partage)</w:t>
            </w:r>
          </w:p>
        </w:tc>
      </w:tr>
      <w:tr>
        <w:trPr>
          <w:cantSplit/>
        </w:trPr>
        <w:tc>
          <w:tcPr>
            <w:tcW w:type="dxa" w:w="21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Site internet</w:t>
            </w:r>
          </w:p>
        </w:tc>
        <w:tc>
          <w:tcPr>
            <w:tcW w:type="dxa" w:w="2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w:t>
            </w:r>
          </w:p>
        </w:tc>
        <w:tc>
          <w:tcPr>
            <w:tcW w:type="dxa" w:w="1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w:t>
            </w:r>
          </w:p>
        </w:tc>
        <w:tc>
          <w:tcPr>
            <w:tcW w:type="dxa" w:w="27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Inexistant</w:t>
            </w:r>
          </w:p>
        </w:tc>
      </w:tr>
    </w:tbl>
    <w:p>
      <w:pPr>
        <w:spacing w:after="200" w:before="80"/>
        <w:jc w:val="center"/>
      </w:pPr>
      <w:r>
        <w:rPr>
          <w:i/>
          <w:iCs/>
          <w:color w:val="595959"/>
          <w:sz w:val="18"/>
          <w:szCs w:val="18"/>
        </w:rPr>
        <w:t xml:space="preserve">Tableau 9 – Logiciels et solutions utilisés</w:t>
      </w:r>
    </w:p>
    <w:p>
      <w:pPr>
        <w:pStyle w:val="Heading2"/>
      </w:pPr>
      <w:r>
        <w:t xml:space="preserve">3.4. Procédures de sauvegarde et de sécurité</w:t>
      </w:r>
    </w:p>
    <w:p>
      <w:pPr>
        <w:keepNext/>
        <w:spacing w:after="120" w:before="0"/>
        <w:jc w:val="both"/>
      </w:pPr>
      <w:r>
        <w:t xml:space="preserve">La sécurité est le point le plus préoccupant du diagnostic :</w:t>
      </w:r>
    </w:p>
    <w:p>
      <w:pPr>
        <w:pStyle w:val="ListParagraph"/>
        <w:numPr>
          <w:ilvl w:val="0"/>
          <w:numId w:val="2"/>
        </w:numPr>
        <w:spacing w:after="60"/>
        <w:jc w:val="both"/>
      </w:pPr>
      <w:r>
        <w:rPr>
          <w:b/>
          <w:bCs/>
        </w:rPr>
        <w:t xml:space="preserve">Aucune procédure de sauvegarde formalisée</w:t>
      </w:r>
      <w:r>
        <w:t xml:space="preserve"> : les fichiers sont stockés sur les postes, sans copie régulière sur un autre support ni hors du local. Aucune distinction n'est faite entre stockage local, cloud et prestataire extérieur.</w:t>
      </w:r>
    </w:p>
    <w:p>
      <w:pPr>
        <w:pStyle w:val="ListParagraph"/>
        <w:numPr>
          <w:ilvl w:val="0"/>
          <w:numId w:val="2"/>
        </w:numPr>
        <w:spacing w:after="60"/>
        <w:jc w:val="both"/>
      </w:pPr>
      <w:r>
        <w:rPr>
          <w:b/>
          <w:bCs/>
        </w:rPr>
        <w:t xml:space="preserve">Une messagerie piratée</w:t>
      </w:r>
      <w:r>
        <w:t xml:space="preserve"> : elle a servi à envoyer de faux devis aux clients, ce qui atteint la confiance commerciale et expose l'entreprise et ses clients à la fraude au faux RIB.</w:t>
      </w:r>
    </w:p>
    <w:p>
      <w:pPr>
        <w:pStyle w:val="ListParagraph"/>
        <w:numPr>
          <w:ilvl w:val="0"/>
          <w:numId w:val="2"/>
        </w:numPr>
        <w:spacing w:after="60"/>
        <w:jc w:val="both"/>
      </w:pPr>
      <w:r>
        <w:rPr>
          <w:b/>
          <w:bCs/>
        </w:rPr>
        <w:t xml:space="preserve">Des protections de base absentes</w:t>
      </w:r>
      <w:r>
        <w:t xml:space="preserve"> : pas de double authentification, pas de règles de mots de passe, pas de sensibilisation des utilisateurs à l'hameçonnage, pas de charte informatique.</w:t>
      </w:r>
    </w:p>
    <w:p>
      <w:pPr>
        <w:keepNext/>
        <w:spacing w:after="120" w:before="120"/>
        <w:jc w:val="both"/>
      </w:pPr>
      <w:r>
        <w:t xml:space="preserve">Nous proposons les mesures suivantes, à mettre en place dès le début du projet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100"/>
        <w:gridCol w:w="2038"/>
      </w:tblGrid>
      <w:tr>
        <w:trPr>
          <w:cantSplit/>
          <w:tblHeader/>
        </w:trPr>
        <w:tc>
          <w:tcPr>
            <w:tcW w:type="dxa" w:w="25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Mesure</w:t>
            </w:r>
          </w:p>
        </w:tc>
        <w:tc>
          <w:tcPr>
            <w:tcW w:type="dxa" w:w="51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Description</w:t>
            </w:r>
          </w:p>
        </w:tc>
        <w:tc>
          <w:tcPr>
            <w:tcW w:type="dxa" w:w="203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Échéance</w:t>
            </w:r>
          </w:p>
        </w:tc>
      </w:tr>
      <w:tr>
        <w:trPr>
          <w:cantSplit/>
        </w:trPr>
        <w:tc>
          <w:tcPr>
            <w:tcW w:type="dxa" w:w="2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Messagerie professionnelle</w:t>
            </w:r>
          </w:p>
        </w:tc>
        <w:tc>
          <w:tcPr>
            <w:tcW w:type="dxa" w:w="51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Adresses sur le nom de domaine du site, double authentification, protocoles anti-usurpation (SPF, DKIM, DMARC)</w:t>
            </w:r>
          </w:p>
        </w:tc>
        <w:tc>
          <w:tcPr>
            <w:tcW w:type="dxa" w:w="20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Phase 1</w:t>
            </w:r>
          </w:p>
        </w:tc>
      </w:tr>
      <w:tr>
        <w:trPr>
          <w:cantSplit/>
        </w:trPr>
        <w:tc>
          <w:tcPr>
            <w:tcW w:type="dxa" w:w="25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Sauvegarde 3-2-1</w:t>
            </w:r>
          </w:p>
        </w:tc>
        <w:tc>
          <w:tcPr>
            <w:tcW w:type="dxa" w:w="51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3 copies des données, sur 2 supports différents, dont 1 hors site (cloud) ; sauvegardes automatiques et testées</w:t>
            </w:r>
          </w:p>
        </w:tc>
        <w:tc>
          <w:tcPr>
            <w:tcW w:type="dxa" w:w="20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Phase 1</w:t>
            </w:r>
          </w:p>
        </w:tc>
      </w:tr>
      <w:tr>
        <w:trPr>
          <w:cantSplit/>
        </w:trPr>
        <w:tc>
          <w:tcPr>
            <w:tcW w:type="dxa" w:w="2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Gestionnaire de mots de passe</w:t>
            </w:r>
          </w:p>
        </w:tc>
        <w:tc>
          <w:tcPr>
            <w:tcW w:type="dxa" w:w="51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Mots de passe uniques et robustes pour chaque service</w:t>
            </w:r>
          </w:p>
        </w:tc>
        <w:tc>
          <w:tcPr>
            <w:tcW w:type="dxa" w:w="20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Phase 1</w:t>
            </w:r>
          </w:p>
        </w:tc>
      </w:tr>
      <w:tr>
        <w:trPr>
          <w:cantSplit/>
        </w:trPr>
        <w:tc>
          <w:tcPr>
            <w:tcW w:type="dxa" w:w="25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Procédure anti-fraude</w:t>
            </w:r>
          </w:p>
        </w:tc>
        <w:tc>
          <w:tcPr>
            <w:tcW w:type="dxa" w:w="51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Vérification par téléphone de toute demande de changement de coordonnées bancaires</w:t>
            </w:r>
          </w:p>
        </w:tc>
        <w:tc>
          <w:tcPr>
            <w:tcW w:type="dxa" w:w="20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Phase 1</w:t>
            </w:r>
          </w:p>
        </w:tc>
      </w:tr>
      <w:tr>
        <w:trPr>
          <w:cantSplit/>
        </w:trPr>
        <w:tc>
          <w:tcPr>
            <w:tcW w:type="dxa" w:w="2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Sensibilisation</w:t>
            </w:r>
          </w:p>
        </w:tc>
        <w:tc>
          <w:tcPr>
            <w:tcW w:type="dxa" w:w="51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Formation courte aux bons réflexes, à partir des ressources de cybermalveillance.gouv.fr</w:t>
            </w:r>
          </w:p>
        </w:tc>
        <w:tc>
          <w:tcPr>
            <w:tcW w:type="dxa" w:w="20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Phase 1, puis chaque année</w:t>
            </w:r>
          </w:p>
        </w:tc>
      </w:tr>
      <w:tr>
        <w:trPr>
          <w:cantSplit/>
        </w:trPr>
        <w:tc>
          <w:tcPr>
            <w:tcW w:type="dxa" w:w="25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Mises à jour</w:t>
            </w:r>
          </w:p>
        </w:tc>
        <w:tc>
          <w:tcPr>
            <w:tcW w:type="dxa" w:w="51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Mises à jour automatiques des postes et des navigateurs</w:t>
            </w:r>
          </w:p>
        </w:tc>
        <w:tc>
          <w:tcPr>
            <w:tcW w:type="dxa" w:w="20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En continu</w:t>
            </w:r>
          </w:p>
        </w:tc>
      </w:tr>
      <w:tr>
        <w:trPr>
          <w:cantSplit/>
        </w:trPr>
        <w:tc>
          <w:tcPr>
            <w:tcW w:type="dxa" w:w="2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RGPD</w:t>
            </w:r>
          </w:p>
        </w:tc>
        <w:tc>
          <w:tcPr>
            <w:tcW w:type="dxa" w:w="51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Registre des traitements, clauses RGPD dans le contrat SaaS, hébergement des données dans l'Union européenne</w:t>
            </w:r>
          </w:p>
        </w:tc>
        <w:tc>
          <w:tcPr>
            <w:tcW w:type="dxa" w:w="20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Phase 2</w:t>
            </w:r>
          </w:p>
        </w:tc>
      </w:tr>
    </w:tbl>
    <w:p>
      <w:pPr>
        <w:spacing w:after="200" w:before="80"/>
        <w:jc w:val="center"/>
      </w:pPr>
      <w:r>
        <w:rPr>
          <w:i/>
          <w:iCs/>
          <w:color w:val="595959"/>
          <w:sz w:val="18"/>
          <w:szCs w:val="18"/>
        </w:rPr>
        <w:t xml:space="preserve">Tableau 10 – Mesures de sécurité proposées</w:t>
      </w:r>
    </w:p>
    <w:p>
      <w:pPr>
        <w:pStyle w:val="Heading2"/>
      </w:pPr>
      <w:r>
        <w:t xml:space="preserve">3.5. Ressources humaines dédiées à l'informatique</w:t>
      </w:r>
    </w:p>
    <w:p>
      <w:pPr>
        <w:spacing w:after="120" w:before="0"/>
        <w:jc w:val="both"/>
      </w:pPr>
      <w:r>
        <w:t xml:space="preserve">BV2G ne dispose d'aucune ressource informatique, ni interne ni externe. Les problèmes sont réglés au fil de l'eau par les assistantes ou les gérants, sans contrat de maintenance. Cette situation est fréquente dans les TPE, mais elle rend l'entreprise vulnérable en cas de panne ou d'attaque.</w:t>
      </w:r>
    </w:p>
    <w:p>
      <w:pPr>
        <w:keepNext/>
        <w:spacing w:after="120" w:before="0"/>
        <w:jc w:val="both"/>
      </w:pPr>
      <w:r>
        <w:t xml:space="preserve">Le projet ne suppose pas de recruter un informaticien. Nous recommandons :</w:t>
      </w:r>
    </w:p>
    <w:p>
      <w:pPr>
        <w:pStyle w:val="ListParagraph"/>
        <w:numPr>
          <w:ilvl w:val="0"/>
          <w:numId w:val="2"/>
        </w:numPr>
        <w:spacing w:after="60"/>
        <w:jc w:val="both"/>
      </w:pPr>
      <w:r>
        <w:rPr>
          <w:b/>
          <w:bCs/>
        </w:rPr>
        <w:t xml:space="preserve">une référente numérique interne</w:t>
      </w:r>
      <w:r>
        <w:t xml:space="preserve"> : l'assistante de direction qui pilotera le SaaS au quotidien, formée en priorité ;</w:t>
      </w:r>
    </w:p>
    <w:p>
      <w:pPr>
        <w:pStyle w:val="ListParagraph"/>
        <w:numPr>
          <w:ilvl w:val="0"/>
          <w:numId w:val="2"/>
        </w:numPr>
        <w:spacing w:after="60"/>
        <w:jc w:val="both"/>
      </w:pPr>
      <w:r>
        <w:rPr>
          <w:b/>
          <w:bCs/>
        </w:rPr>
        <w:t xml:space="preserve">le support de l'éditeur du SaaS</w:t>
      </w:r>
      <w:r>
        <w:t xml:space="preserve">, inclus dans l'abonnement (assistance, mises à jour, sécurité, hébergement) ;</w:t>
      </w:r>
    </w:p>
    <w:p>
      <w:pPr>
        <w:pStyle w:val="ListParagraph"/>
        <w:numPr>
          <w:ilvl w:val="0"/>
          <w:numId w:val="2"/>
        </w:numPr>
        <w:spacing w:after="60"/>
        <w:jc w:val="both"/>
      </w:pPr>
      <w:r>
        <w:rPr>
          <w:b/>
          <w:bCs/>
        </w:rPr>
        <w:t xml:space="preserve">un prestataire extérieur</w:t>
      </w:r>
      <w:r>
        <w:t xml:space="preserve"> pour le site internet et, si besoin, une maintenance informatique légère à la demande.</w:t>
      </w:r>
    </w:p>
    <w:p>
      <w:pPr>
        <w:pStyle w:val="Heading2"/>
        <w:pageBreakBefore/>
      </w:pPr>
      <w:r>
        <w:t xml:space="preserve">3.6. Analyse SWOT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BFC8D6" w:sz="4"/>
              <w:left w:val="single" w:color="BFC8D6" w:sz="4"/>
              <w:bottom w:val="single" w:color="BFC8D6" w:sz="4"/>
              <w:right w:val="single" w:color="BFC8D6" w:sz="4"/>
            </w:tcBorders>
            <w:shd w:fill="E2F0D9" w:color="auto" w:val="clear"/>
            <w:tcMar>
              <w:top w:type="dxa" w:w="70"/>
              <w:left w:type="dxa" w:w="100"/>
              <w:bottom w:type="dxa" w:w="70"/>
              <w:right w:type="dxa" w:w="100"/>
            </w:tcMar>
            <w:vAlign w:val="top"/>
          </w:tcPr>
          <w:p>
            <w:pPr>
              <w:spacing w:after="40"/>
              <w:jc w:val="left"/>
            </w:pPr>
            <w:r>
              <w:rPr>
                <w:b/>
                <w:bCs/>
                <w:sz w:val="19"/>
                <w:szCs w:val="19"/>
              </w:rPr>
              <w:t xml:space="preserve">FORCES</w:t>
            </w:r>
          </w:p>
          <w:p>
            <w:pPr>
              <w:pStyle w:val="ListParagraph"/>
              <w:numPr>
                <w:ilvl w:val="0"/>
                <w:numId w:val="3"/>
              </w:numPr>
              <w:spacing w:after="40"/>
              <w:jc w:val="left"/>
            </w:pPr>
            <w:r>
              <w:rPr>
                <w:sz w:val="19"/>
                <w:szCs w:val="19"/>
              </w:rPr>
              <w:t xml:space="preserve">Structure petite et réactive, décisions rapides</w:t>
            </w:r>
          </w:p>
          <w:p>
            <w:pPr>
              <w:pStyle w:val="ListParagraph"/>
              <w:numPr>
                <w:ilvl w:val="0"/>
                <w:numId w:val="3"/>
              </w:numPr>
              <w:spacing w:after="40"/>
              <w:jc w:val="left"/>
            </w:pPr>
            <w:r>
              <w:rPr>
                <w:sz w:val="19"/>
                <w:szCs w:val="19"/>
              </w:rPr>
              <w:t xml:space="preserve">Circulation rapide de l'information orale au sein d'une équipe resserrée</w:t>
            </w:r>
          </w:p>
          <w:p>
            <w:pPr>
              <w:pStyle w:val="ListParagraph"/>
              <w:numPr>
                <w:ilvl w:val="0"/>
                <w:numId w:val="3"/>
              </w:numPr>
              <w:spacing w:after="40"/>
              <w:jc w:val="left"/>
            </w:pPr>
            <w:r>
              <w:rPr>
                <w:sz w:val="19"/>
                <w:szCs w:val="19"/>
              </w:rPr>
              <w:t xml:space="preserve">Flotte en propriété et flexibilité (location, intérim) pour absorber la saisonnalité</w:t>
            </w:r>
          </w:p>
          <w:p>
            <w:pPr>
              <w:pStyle w:val="ListParagraph"/>
              <w:numPr>
                <w:ilvl w:val="0"/>
                <w:numId w:val="3"/>
              </w:numPr>
              <w:spacing w:after="40"/>
              <w:jc w:val="left"/>
            </w:pPr>
            <w:r>
              <w:rPr>
                <w:sz w:val="19"/>
                <w:szCs w:val="19"/>
              </w:rPr>
              <w:t xml:space="preserve">Portefeuille de 40 à 50 clients</w:t>
            </w:r>
          </w:p>
          <w:p>
            <w:pPr>
              <w:pStyle w:val="ListParagraph"/>
              <w:numPr>
                <w:ilvl w:val="0"/>
                <w:numId w:val="3"/>
              </w:numPr>
              <w:spacing w:after="40"/>
              <w:jc w:val="left"/>
            </w:pPr>
            <w:r>
              <w:rPr>
                <w:sz w:val="19"/>
                <w:szCs w:val="19"/>
              </w:rPr>
              <w:t xml:space="preserve">Implantation stratégique sur l'axe A7</w:t>
            </w:r>
          </w:p>
          <w:p>
            <w:pPr>
              <w:pStyle w:val="ListParagraph"/>
              <w:numPr>
                <w:ilvl w:val="0"/>
                <w:numId w:val="3"/>
              </w:numPr>
              <w:spacing w:after="40"/>
              <w:jc w:val="left"/>
            </w:pPr>
            <w:r>
              <w:rPr>
                <w:sz w:val="19"/>
                <w:szCs w:val="19"/>
              </w:rPr>
              <w:t xml:space="preserve">Entreprise rentable malgré la baisse du résultat</w:t>
            </w:r>
          </w:p>
          <w:p>
            <w:pPr>
              <w:pStyle w:val="ListParagraph"/>
              <w:numPr>
                <w:ilvl w:val="0"/>
                <w:numId w:val="3"/>
              </w:numPr>
              <w:spacing w:after="40"/>
              <w:jc w:val="left"/>
            </w:pPr>
            <w:r>
              <w:rPr>
                <w:sz w:val="19"/>
                <w:szCs w:val="19"/>
              </w:rPr>
              <w:t xml:space="preserve">Première sensibilité environnementale (aide de l'ADEME)</w:t>
            </w:r>
          </w:p>
        </w:tc>
        <w:tc>
          <w:tcPr>
            <w:tcW w:type="dxa" w:w="4819"/>
            <w:tcBorders>
              <w:top w:val="single" w:color="BFC8D6" w:sz="4"/>
              <w:left w:val="single" w:color="BFC8D6" w:sz="4"/>
              <w:bottom w:val="single" w:color="BFC8D6" w:sz="4"/>
              <w:right w:val="single" w:color="BFC8D6" w:sz="4"/>
            </w:tcBorders>
            <w:shd w:fill="FBE5D6" w:color="auto" w:val="clear"/>
            <w:tcMar>
              <w:top w:type="dxa" w:w="70"/>
              <w:left w:type="dxa" w:w="100"/>
              <w:bottom w:type="dxa" w:w="70"/>
              <w:right w:type="dxa" w:w="100"/>
            </w:tcMar>
            <w:vAlign w:val="top"/>
          </w:tcPr>
          <w:p>
            <w:pPr>
              <w:spacing w:after="40"/>
              <w:jc w:val="left"/>
            </w:pPr>
            <w:r>
              <w:rPr>
                <w:b/>
                <w:bCs/>
                <w:sz w:val="19"/>
                <w:szCs w:val="19"/>
              </w:rPr>
              <w:t xml:space="preserve">FAIBLESSES</w:t>
            </w:r>
          </w:p>
          <w:p>
            <w:pPr>
              <w:pStyle w:val="ListParagraph"/>
              <w:numPr>
                <w:ilvl w:val="0"/>
                <w:numId w:val="3"/>
              </w:numPr>
              <w:spacing w:after="40"/>
              <w:jc w:val="left"/>
            </w:pPr>
            <w:r>
              <w:rPr>
                <w:sz w:val="19"/>
                <w:szCs w:val="19"/>
              </w:rPr>
              <w:t xml:space="preserve">Deux assistantes surchargées : goulot d'étranglement</w:t>
            </w:r>
          </w:p>
          <w:p>
            <w:pPr>
              <w:pStyle w:val="ListParagraph"/>
              <w:numPr>
                <w:ilvl w:val="0"/>
                <w:numId w:val="3"/>
              </w:numPr>
              <w:spacing w:after="40"/>
              <w:jc w:val="left"/>
            </w:pPr>
            <w:r>
              <w:rPr>
                <w:sz w:val="19"/>
                <w:szCs w:val="19"/>
              </w:rPr>
              <w:t xml:space="preserve">Processus majoritairement papier</w:t>
            </w:r>
          </w:p>
          <w:p>
            <w:pPr>
              <w:pStyle w:val="ListParagraph"/>
              <w:numPr>
                <w:ilvl w:val="0"/>
                <w:numId w:val="3"/>
              </w:numPr>
              <w:spacing w:after="40"/>
              <w:jc w:val="left"/>
            </w:pPr>
            <w:r>
              <w:rPr>
                <w:sz w:val="19"/>
                <w:szCs w:val="19"/>
              </w:rPr>
              <w:t xml:space="preserve">Salariés dépendants des assistantes pour leur planning</w:t>
            </w:r>
          </w:p>
          <w:p>
            <w:pPr>
              <w:pStyle w:val="ListParagraph"/>
              <w:numPr>
                <w:ilvl w:val="0"/>
                <w:numId w:val="3"/>
              </w:numPr>
              <w:spacing w:after="40"/>
              <w:jc w:val="left"/>
            </w:pPr>
            <w:r>
              <w:rPr>
                <w:sz w:val="19"/>
                <w:szCs w:val="19"/>
              </w:rPr>
              <w:t xml:space="preserve">Indexation gazole calculée à la main</w:t>
            </w:r>
          </w:p>
          <w:p>
            <w:pPr>
              <w:pStyle w:val="ListParagraph"/>
              <w:numPr>
                <w:ilvl w:val="0"/>
                <w:numId w:val="3"/>
              </w:numPr>
              <w:spacing w:after="40"/>
              <w:jc w:val="left"/>
            </w:pPr>
            <w:r>
              <w:rPr>
                <w:sz w:val="19"/>
                <w:szCs w:val="19"/>
              </w:rPr>
              <w:t xml:space="preserve">Relances irrégulières, aucun suivi des factures en temps réel</w:t>
            </w:r>
          </w:p>
          <w:p>
            <w:pPr>
              <w:pStyle w:val="ListParagraph"/>
              <w:numPr>
                <w:ilvl w:val="0"/>
                <w:numId w:val="3"/>
              </w:numPr>
              <w:spacing w:after="40"/>
              <w:jc w:val="left"/>
            </w:pPr>
            <w:r>
              <w:rPr>
                <w:sz w:val="19"/>
                <w:szCs w:val="19"/>
              </w:rPr>
              <w:t xml:space="preserve">Aucune sauvegarde, messagerie peu sécurisée</w:t>
            </w:r>
          </w:p>
          <w:p>
            <w:pPr>
              <w:pStyle w:val="ListParagraph"/>
              <w:numPr>
                <w:ilvl w:val="0"/>
                <w:numId w:val="3"/>
              </w:numPr>
              <w:spacing w:after="40"/>
              <w:jc w:val="left"/>
            </w:pPr>
            <w:r>
              <w:rPr>
                <w:sz w:val="19"/>
                <w:szCs w:val="19"/>
              </w:rPr>
              <w:t xml:space="preserve">Aucun site internet, aucune compétence informatique interne</w:t>
            </w:r>
          </w:p>
        </w:tc>
      </w:tr>
      <w:tr>
        <w:trPr>
          <w:cantSplit/>
        </w:trPr>
        <w:tc>
          <w:tcPr>
            <w:tcW w:type="dxa" w:w="4819"/>
            <w:tcBorders>
              <w:top w:val="single" w:color="BFC8D6" w:sz="4"/>
              <w:left w:val="single" w:color="BFC8D6" w:sz="4"/>
              <w:bottom w:val="single" w:color="BFC8D6" w:sz="4"/>
              <w:right w:val="single" w:color="BFC8D6" w:sz="4"/>
            </w:tcBorders>
            <w:shd w:fill="DEEBF7" w:color="auto" w:val="clear"/>
            <w:tcMar>
              <w:top w:type="dxa" w:w="70"/>
              <w:left w:type="dxa" w:w="100"/>
              <w:bottom w:type="dxa" w:w="70"/>
              <w:right w:type="dxa" w:w="100"/>
            </w:tcMar>
            <w:vAlign w:val="top"/>
          </w:tcPr>
          <w:p>
            <w:pPr>
              <w:spacing w:after="40"/>
              <w:jc w:val="left"/>
            </w:pPr>
            <w:r>
              <w:rPr>
                <w:b/>
                <w:bCs/>
                <w:sz w:val="19"/>
                <w:szCs w:val="19"/>
              </w:rPr>
              <w:t xml:space="preserve">OPPORTUNITÉS</w:t>
            </w:r>
          </w:p>
          <w:p>
            <w:pPr>
              <w:pStyle w:val="ListParagraph"/>
              <w:numPr>
                <w:ilvl w:val="0"/>
                <w:numId w:val="3"/>
              </w:numPr>
              <w:spacing w:after="40"/>
              <w:jc w:val="left"/>
            </w:pPr>
            <w:r>
              <w:rPr>
                <w:sz w:val="19"/>
                <w:szCs w:val="19"/>
              </w:rPr>
              <w:t xml:space="preserve">SaaS accessibles par abonnement, sans serveur</w:t>
            </w:r>
          </w:p>
          <w:p>
            <w:pPr>
              <w:pStyle w:val="ListParagraph"/>
              <w:numPr>
                <w:ilvl w:val="0"/>
                <w:numId w:val="3"/>
              </w:numPr>
              <w:spacing w:after="40"/>
              <w:jc w:val="left"/>
            </w:pPr>
            <w:r>
              <w:rPr>
                <w:sz w:val="19"/>
                <w:szCs w:val="19"/>
              </w:rPr>
              <w:t xml:space="preserve">Optimiser le travail administratif pour passer à une seule assistante</w:t>
            </w:r>
          </w:p>
          <w:p>
            <w:pPr>
              <w:pStyle w:val="ListParagraph"/>
              <w:numPr>
                <w:ilvl w:val="0"/>
                <w:numId w:val="3"/>
              </w:numPr>
              <w:spacing w:after="40"/>
              <w:jc w:val="left"/>
            </w:pPr>
            <w:r>
              <w:rPr>
                <w:sz w:val="19"/>
                <w:szCs w:val="19"/>
              </w:rPr>
              <w:t xml:space="preserve">Rendre les salariés autonomes (planning sur smartphone)</w:t>
            </w:r>
          </w:p>
          <w:p>
            <w:pPr>
              <w:pStyle w:val="ListParagraph"/>
              <w:numPr>
                <w:ilvl w:val="0"/>
                <w:numId w:val="3"/>
              </w:numPr>
              <w:spacing w:after="40"/>
              <w:jc w:val="left"/>
            </w:pPr>
            <w:r>
              <w:rPr>
                <w:sz w:val="19"/>
                <w:szCs w:val="19"/>
              </w:rPr>
              <w:t xml:space="preserve">IA et lecture automatique des documents</w:t>
            </w:r>
          </w:p>
          <w:p>
            <w:pPr>
              <w:pStyle w:val="ListParagraph"/>
              <w:numPr>
                <w:ilvl w:val="0"/>
                <w:numId w:val="3"/>
              </w:numPr>
              <w:spacing w:after="40"/>
              <w:jc w:val="left"/>
            </w:pPr>
            <w:r>
              <w:rPr>
                <w:sz w:val="19"/>
                <w:szCs w:val="19"/>
              </w:rPr>
              <w:t xml:space="preserve">Facture électronique obligatoire : occasion de moderniser</w:t>
            </w:r>
          </w:p>
          <w:p>
            <w:pPr>
              <w:pStyle w:val="ListParagraph"/>
              <w:numPr>
                <w:ilvl w:val="0"/>
                <w:numId w:val="3"/>
              </w:numPr>
              <w:spacing w:after="40"/>
              <w:jc w:val="left"/>
            </w:pPr>
            <w:r>
              <w:rPr>
                <w:sz w:val="19"/>
                <w:szCs w:val="19"/>
              </w:rPr>
              <w:t xml:space="preserve">Site internet : nouveaux clients, image, recrutement</w:t>
            </w:r>
          </w:p>
          <w:p>
            <w:pPr>
              <w:pStyle w:val="ListParagraph"/>
              <w:numPr>
                <w:ilvl w:val="0"/>
                <w:numId w:val="3"/>
              </w:numPr>
              <w:spacing w:after="40"/>
              <w:jc w:val="left"/>
            </w:pPr>
            <w:r>
              <w:rPr>
                <w:sz w:val="19"/>
                <w:szCs w:val="19"/>
              </w:rPr>
              <w:t xml:space="preserve">Plateformes de fret pour limiter les retours à vide</w:t>
            </w:r>
          </w:p>
          <w:p>
            <w:pPr>
              <w:pStyle w:val="ListParagraph"/>
              <w:numPr>
                <w:ilvl w:val="0"/>
                <w:numId w:val="3"/>
              </w:numPr>
              <w:spacing w:after="40"/>
              <w:jc w:val="left"/>
            </w:pPr>
            <w:r>
              <w:rPr>
                <w:sz w:val="19"/>
                <w:szCs w:val="19"/>
              </w:rPr>
              <w:t xml:space="preserve">Accompagnements publics (France Num, CCI, ADEME, OPCO)</w:t>
            </w:r>
          </w:p>
        </w:tc>
        <w:tc>
          <w:tcPr>
            <w:tcW w:type="dxa" w:w="4819"/>
            <w:tcBorders>
              <w:top w:val="single" w:color="BFC8D6" w:sz="4"/>
              <w:left w:val="single" w:color="BFC8D6" w:sz="4"/>
              <w:bottom w:val="single" w:color="BFC8D6" w:sz="4"/>
              <w:right w:val="single" w:color="BFC8D6" w:sz="4"/>
            </w:tcBorders>
            <w:shd w:fill="EDE7F6" w:color="auto" w:val="clear"/>
            <w:tcMar>
              <w:top w:type="dxa" w:w="70"/>
              <w:left w:type="dxa" w:w="100"/>
              <w:bottom w:type="dxa" w:w="70"/>
              <w:right w:type="dxa" w:w="100"/>
            </w:tcMar>
            <w:vAlign w:val="top"/>
          </w:tcPr>
          <w:p>
            <w:pPr>
              <w:spacing w:after="40"/>
              <w:jc w:val="left"/>
            </w:pPr>
            <w:r>
              <w:rPr>
                <w:b/>
                <w:bCs/>
                <w:sz w:val="19"/>
                <w:szCs w:val="19"/>
              </w:rPr>
              <w:t xml:space="preserve">MENACES</w:t>
            </w:r>
          </w:p>
          <w:p>
            <w:pPr>
              <w:pStyle w:val="ListParagraph"/>
              <w:numPr>
                <w:ilvl w:val="0"/>
                <w:numId w:val="3"/>
              </w:numPr>
              <w:spacing w:after="40"/>
              <w:jc w:val="left"/>
            </w:pPr>
            <w:r>
              <w:rPr>
                <w:sz w:val="19"/>
                <w:szCs w:val="19"/>
              </w:rPr>
              <w:t xml:space="preserve">Cyberattaques : faux devis déjà envoyés, fraude au faux RIB</w:t>
            </w:r>
          </w:p>
          <w:p>
            <w:pPr>
              <w:pStyle w:val="ListParagraph"/>
              <w:numPr>
                <w:ilvl w:val="0"/>
                <w:numId w:val="3"/>
              </w:numPr>
              <w:spacing w:after="40"/>
              <w:jc w:val="left"/>
            </w:pPr>
            <w:r>
              <w:rPr>
                <w:sz w:val="19"/>
                <w:szCs w:val="19"/>
              </w:rPr>
              <w:t xml:space="preserve">Perte de données en cas de panne ou de rançongiciel</w:t>
            </w:r>
          </w:p>
          <w:p>
            <w:pPr>
              <w:pStyle w:val="ListParagraph"/>
              <w:numPr>
                <w:ilvl w:val="0"/>
                <w:numId w:val="3"/>
              </w:numPr>
              <w:spacing w:after="40"/>
              <w:jc w:val="left"/>
            </w:pPr>
            <w:r>
              <w:rPr>
                <w:sz w:val="19"/>
                <w:szCs w:val="19"/>
              </w:rPr>
              <w:t xml:space="preserve">Non-conformité (facture électronique, indexation, RGPD)</w:t>
            </w:r>
          </w:p>
          <w:p>
            <w:pPr>
              <w:pStyle w:val="ListParagraph"/>
              <w:numPr>
                <w:ilvl w:val="0"/>
                <w:numId w:val="3"/>
              </w:numPr>
              <w:spacing w:after="40"/>
              <w:jc w:val="left"/>
            </w:pPr>
            <w:r>
              <w:rPr>
                <w:sz w:val="19"/>
                <w:szCs w:val="19"/>
              </w:rPr>
              <w:t xml:space="preserve">Concurrents mieux digitalisés et plateformes</w:t>
            </w:r>
          </w:p>
          <w:p>
            <w:pPr>
              <w:pStyle w:val="ListParagraph"/>
              <w:numPr>
                <w:ilvl w:val="0"/>
                <w:numId w:val="3"/>
              </w:numPr>
              <w:spacing w:after="40"/>
              <w:jc w:val="left"/>
            </w:pPr>
            <w:r>
              <w:rPr>
                <w:sz w:val="19"/>
                <w:szCs w:val="19"/>
              </w:rPr>
              <w:t xml:space="preserve">Volatilité du gazole et pression sur les marges</w:t>
            </w:r>
          </w:p>
          <w:p>
            <w:pPr>
              <w:pStyle w:val="ListParagraph"/>
              <w:numPr>
                <w:ilvl w:val="0"/>
                <w:numId w:val="3"/>
              </w:numPr>
              <w:spacing w:after="40"/>
              <w:jc w:val="left"/>
            </w:pPr>
            <w:r>
              <w:rPr>
                <w:sz w:val="19"/>
                <w:szCs w:val="19"/>
              </w:rPr>
              <w:t xml:space="preserve">Pénurie de conducteurs</w:t>
            </w:r>
          </w:p>
          <w:p>
            <w:pPr>
              <w:pStyle w:val="ListParagraph"/>
              <w:numPr>
                <w:ilvl w:val="0"/>
                <w:numId w:val="3"/>
              </w:numPr>
              <w:spacing w:after="40"/>
              <w:jc w:val="left"/>
            </w:pPr>
            <w:r>
              <w:rPr>
                <w:sz w:val="19"/>
                <w:szCs w:val="19"/>
              </w:rPr>
              <w:t xml:space="preserve">Mauvais choix d'outil, dépendance à un éditeur</w:t>
            </w:r>
          </w:p>
        </w:tc>
      </w:tr>
    </w:tbl>
    <w:p>
      <w:pPr>
        <w:spacing w:after="200" w:before="80"/>
        <w:jc w:val="center"/>
      </w:pPr>
      <w:r>
        <w:rPr>
          <w:i/>
          <w:iCs/>
          <w:color w:val="595959"/>
          <w:sz w:val="18"/>
          <w:szCs w:val="18"/>
        </w:rPr>
        <w:t xml:space="preserve">Tableau 11 – Analyse SWOT de BV2G Transport</w:t>
      </w:r>
    </w:p>
    <w:p>
      <w:pPr>
        <w:spacing w:after="120" w:before="0"/>
        <w:jc w:val="both"/>
      </w:pPr>
      <w:r>
        <w:t xml:space="preserve">Le SWOT montre que les faiblesses de BV2G sont presque toutes d'ordre organisationnel et informationnel, et non commercial : l'entreprise a des clients, une flotte et une capacité d'adaptation. Les opportunités numériques répondent directement à ces faiblesses. La stratégie retenue consiste donc à </w:t>
      </w:r>
      <w:r>
        <w:rPr>
          <w:b/>
          <w:bCs/>
        </w:rPr>
        <w:t xml:space="preserve">s'appuyer sur la réactivité de cette petite structure</w:t>
      </w:r>
      <w:r>
        <w:t xml:space="preserve"> pour déployer rapidement des outils simples, </w:t>
      </w:r>
      <w:r>
        <w:rPr>
          <w:b/>
          <w:bCs/>
        </w:rPr>
        <w:t xml:space="preserve">tout en neutralisant en priorité les menaces les plus urgentes</w:t>
      </w:r>
      <w:r>
        <w:t xml:space="preserve"> : la cybersécurité et l'échéance de la facturation électronique.</w:t>
      </w:r>
    </w:p>
    <w:p>
      <w:pPr>
        <w:pStyle w:val="Heading2"/>
        <w:pageBreakBefore/>
      </w:pPr>
      <w:r>
        <w:t xml:space="preserve">3.7. Risques encourus dans la situation actuelle</w:t>
      </w:r>
    </w:p>
    <w:p>
      <w:pPr>
        <w:spacing w:after="120" w:before="0"/>
        <w:jc w:val="both"/>
      </w:pPr>
      <w:r>
        <w:t xml:space="preserve">Chaque risque est évalué selon sa probabilité (P) et son impact (I), sur une échelle de 1 à 3. La criticité est le produit des deux : faible de 1 à 2, modérée de 3 à 4, élevée de 6 à 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338"/>
        <w:gridCol w:w="600"/>
        <w:gridCol w:w="600"/>
        <w:gridCol w:w="1600"/>
      </w:tblGrid>
      <w:tr>
        <w:trPr>
          <w:cantSplit/>
          <w:tblHeader/>
        </w:trPr>
        <w:tc>
          <w:tcPr>
            <w:tcW w:type="dxa" w:w="25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Risque</w:t>
            </w:r>
          </w:p>
        </w:tc>
        <w:tc>
          <w:tcPr>
            <w:tcW w:type="dxa" w:w="433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Description</w:t>
            </w:r>
          </w:p>
        </w:tc>
        <w:tc>
          <w:tcPr>
            <w:tcW w:type="dxa" w:w="6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P</w:t>
            </w:r>
          </w:p>
        </w:tc>
        <w:tc>
          <w:tcPr>
            <w:tcW w:type="dxa" w:w="6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I</w:t>
            </w:r>
          </w:p>
        </w:tc>
        <w:tc>
          <w:tcPr>
            <w:tcW w:type="dxa" w:w="16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Criticité</w:t>
            </w:r>
          </w:p>
        </w:tc>
      </w:tr>
      <w:tr>
        <w:trPr>
          <w:cantSplit/>
        </w:trPr>
        <w:tc>
          <w:tcPr>
            <w:tcW w:type="dxa" w:w="2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Usurpation de la messagerie</w:t>
            </w:r>
          </w:p>
        </w:tc>
        <w:tc>
          <w:tcPr>
            <w:tcW w:type="dxa" w:w="43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Déjà survenue : faux devis envoyés aux clients</w:t>
            </w:r>
          </w:p>
        </w:tc>
        <w:tc>
          <w:tcPr>
            <w:tcW w:type="dxa" w:w="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b w:val="false"/>
                <w:bCs w:val="false"/>
                <w:sz w:val="19"/>
                <w:szCs w:val="19"/>
              </w:rPr>
              <w:t xml:space="preserve">3</w:t>
            </w:r>
          </w:p>
        </w:tc>
        <w:tc>
          <w:tcPr>
            <w:tcW w:type="dxa" w:w="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b w:val="false"/>
                <w:bCs w:val="false"/>
                <w:sz w:val="19"/>
                <w:szCs w:val="19"/>
              </w:rPr>
              <w:t xml:space="preserve">3</w:t>
            </w:r>
          </w:p>
        </w:tc>
        <w:tc>
          <w:tcPr>
            <w:tcW w:type="dxa" w:w="1600"/>
            <w:tcBorders>
              <w:top w:val="single" w:color="BFC8D6" w:sz="4"/>
              <w:left w:val="single" w:color="BFC8D6" w:sz="4"/>
              <w:bottom w:val="single" w:color="BFC8D6" w:sz="4"/>
              <w:right w:val="single" w:color="BFC8D6" w:sz="4"/>
            </w:tcBorders>
            <w:shd w:fill="F4B6B0" w:color="auto" w:val="clear"/>
            <w:tcMar>
              <w:top w:type="dxa" w:w="70"/>
              <w:left w:type="dxa" w:w="100"/>
              <w:bottom w:type="dxa" w:w="70"/>
              <w:right w:type="dxa" w:w="100"/>
            </w:tcMar>
            <w:vAlign w:val="center"/>
          </w:tcPr>
          <w:p>
            <w:pPr>
              <w:spacing w:after="40"/>
              <w:jc w:val="center"/>
            </w:pPr>
            <w:r>
              <w:rPr>
                <w:b/>
                <w:bCs/>
                <w:sz w:val="19"/>
                <w:szCs w:val="19"/>
              </w:rPr>
              <w:t xml:space="preserve">9 – Élevée</w:t>
            </w:r>
          </w:p>
        </w:tc>
      </w:tr>
      <w:tr>
        <w:trPr>
          <w:cantSplit/>
        </w:trPr>
        <w:tc>
          <w:tcPr>
            <w:tcW w:type="dxa" w:w="25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Retards de paiement</w:t>
            </w:r>
          </w:p>
        </w:tc>
        <w:tc>
          <w:tcPr>
            <w:tcW w:type="dxa" w:w="43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Facturation tardive, relances irrégulières : trésorerie fragilisée alors que le résultat baisse</w:t>
            </w:r>
          </w:p>
        </w:tc>
        <w:tc>
          <w:tcPr>
            <w:tcW w:type="dxa" w:w="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center"/>
            </w:pPr>
            <w:r>
              <w:rPr>
                <w:b w:val="false"/>
                <w:bCs w:val="false"/>
                <w:sz w:val="19"/>
                <w:szCs w:val="19"/>
              </w:rPr>
              <w:t xml:space="preserve">3</w:t>
            </w:r>
          </w:p>
        </w:tc>
        <w:tc>
          <w:tcPr>
            <w:tcW w:type="dxa" w:w="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center"/>
            </w:pPr>
            <w:r>
              <w:rPr>
                <w:b w:val="false"/>
                <w:bCs w:val="false"/>
                <w:sz w:val="19"/>
                <w:szCs w:val="19"/>
              </w:rPr>
              <w:t xml:space="preserve">3</w:t>
            </w:r>
          </w:p>
        </w:tc>
        <w:tc>
          <w:tcPr>
            <w:tcW w:type="dxa" w:w="1600"/>
            <w:tcBorders>
              <w:top w:val="single" w:color="BFC8D6" w:sz="4"/>
              <w:left w:val="single" w:color="BFC8D6" w:sz="4"/>
              <w:bottom w:val="single" w:color="BFC8D6" w:sz="4"/>
              <w:right w:val="single" w:color="BFC8D6" w:sz="4"/>
            </w:tcBorders>
            <w:shd w:fill="F4B6B0" w:color="auto" w:val="clear"/>
            <w:tcMar>
              <w:top w:type="dxa" w:w="70"/>
              <w:left w:type="dxa" w:w="100"/>
              <w:bottom w:type="dxa" w:w="70"/>
              <w:right w:type="dxa" w:w="100"/>
            </w:tcMar>
            <w:vAlign w:val="center"/>
          </w:tcPr>
          <w:p>
            <w:pPr>
              <w:spacing w:after="40"/>
              <w:jc w:val="center"/>
            </w:pPr>
            <w:r>
              <w:rPr>
                <w:b/>
                <w:bCs/>
                <w:sz w:val="19"/>
                <w:szCs w:val="19"/>
              </w:rPr>
              <w:t xml:space="preserve">9 – Élevée</w:t>
            </w:r>
          </w:p>
        </w:tc>
      </w:tr>
      <w:tr>
        <w:trPr>
          <w:cantSplit/>
        </w:trPr>
        <w:tc>
          <w:tcPr>
            <w:tcW w:type="dxa" w:w="2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Dépendance aux assistantes</w:t>
            </w:r>
          </w:p>
        </w:tc>
        <w:tc>
          <w:tcPr>
            <w:tcW w:type="dxa" w:w="43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Une absence bloque le planning et la facturation ; savoir-faire non documenté</w:t>
            </w:r>
          </w:p>
        </w:tc>
        <w:tc>
          <w:tcPr>
            <w:tcW w:type="dxa" w:w="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b w:val="false"/>
                <w:bCs w:val="false"/>
                <w:sz w:val="19"/>
                <w:szCs w:val="19"/>
              </w:rPr>
              <w:t xml:space="preserve">3</w:t>
            </w:r>
          </w:p>
        </w:tc>
        <w:tc>
          <w:tcPr>
            <w:tcW w:type="dxa" w:w="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b w:val="false"/>
                <w:bCs w:val="false"/>
                <w:sz w:val="19"/>
                <w:szCs w:val="19"/>
              </w:rPr>
              <w:t xml:space="preserve">3</w:t>
            </w:r>
          </w:p>
        </w:tc>
        <w:tc>
          <w:tcPr>
            <w:tcW w:type="dxa" w:w="1600"/>
            <w:tcBorders>
              <w:top w:val="single" w:color="BFC8D6" w:sz="4"/>
              <w:left w:val="single" w:color="BFC8D6" w:sz="4"/>
              <w:bottom w:val="single" w:color="BFC8D6" w:sz="4"/>
              <w:right w:val="single" w:color="BFC8D6" w:sz="4"/>
            </w:tcBorders>
            <w:shd w:fill="F4B6B0" w:color="auto" w:val="clear"/>
            <w:tcMar>
              <w:top w:type="dxa" w:w="70"/>
              <w:left w:type="dxa" w:w="100"/>
              <w:bottom w:type="dxa" w:w="70"/>
              <w:right w:type="dxa" w:w="100"/>
            </w:tcMar>
            <w:vAlign w:val="center"/>
          </w:tcPr>
          <w:p>
            <w:pPr>
              <w:spacing w:after="40"/>
              <w:jc w:val="center"/>
            </w:pPr>
            <w:r>
              <w:rPr>
                <w:b/>
                <w:bCs/>
                <w:sz w:val="19"/>
                <w:szCs w:val="19"/>
              </w:rPr>
              <w:t xml:space="preserve">9 – Élevée</w:t>
            </w:r>
          </w:p>
        </w:tc>
      </w:tr>
      <w:tr>
        <w:trPr>
          <w:cantSplit/>
        </w:trPr>
        <w:tc>
          <w:tcPr>
            <w:tcW w:type="dxa" w:w="25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Non-conformité à la facture électronique</w:t>
            </w:r>
          </w:p>
        </w:tc>
        <w:tc>
          <w:tcPr>
            <w:tcW w:type="dxa" w:w="43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Réception obligatoire depuis le 1er septembre 2026, émission au 1er septembre 2027</w:t>
            </w:r>
          </w:p>
        </w:tc>
        <w:tc>
          <w:tcPr>
            <w:tcW w:type="dxa" w:w="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center"/>
            </w:pPr>
            <w:r>
              <w:rPr>
                <w:b w:val="false"/>
                <w:bCs w:val="false"/>
                <w:sz w:val="19"/>
                <w:szCs w:val="19"/>
              </w:rPr>
              <w:t xml:space="preserve">3</w:t>
            </w:r>
          </w:p>
        </w:tc>
        <w:tc>
          <w:tcPr>
            <w:tcW w:type="dxa" w:w="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center"/>
            </w:pPr>
            <w:r>
              <w:rPr>
                <w:b w:val="false"/>
                <w:bCs w:val="false"/>
                <w:sz w:val="19"/>
                <w:szCs w:val="19"/>
              </w:rPr>
              <w:t xml:space="preserve">3</w:t>
            </w:r>
          </w:p>
        </w:tc>
        <w:tc>
          <w:tcPr>
            <w:tcW w:type="dxa" w:w="1600"/>
            <w:tcBorders>
              <w:top w:val="single" w:color="BFC8D6" w:sz="4"/>
              <w:left w:val="single" w:color="BFC8D6" w:sz="4"/>
              <w:bottom w:val="single" w:color="BFC8D6" w:sz="4"/>
              <w:right w:val="single" w:color="BFC8D6" w:sz="4"/>
            </w:tcBorders>
            <w:shd w:fill="F4B6B0" w:color="auto" w:val="clear"/>
            <w:tcMar>
              <w:top w:type="dxa" w:w="70"/>
              <w:left w:type="dxa" w:w="100"/>
              <w:bottom w:type="dxa" w:w="70"/>
              <w:right w:type="dxa" w:w="100"/>
            </w:tcMar>
            <w:vAlign w:val="center"/>
          </w:tcPr>
          <w:p>
            <w:pPr>
              <w:spacing w:after="40"/>
              <w:jc w:val="center"/>
            </w:pPr>
            <w:r>
              <w:rPr>
                <w:b/>
                <w:bCs/>
                <w:sz w:val="19"/>
                <w:szCs w:val="19"/>
              </w:rPr>
              <w:t xml:space="preserve">9 – Élevée</w:t>
            </w:r>
          </w:p>
        </w:tc>
      </w:tr>
      <w:tr>
        <w:trPr>
          <w:cantSplit/>
        </w:trPr>
        <w:tc>
          <w:tcPr>
            <w:tcW w:type="dxa" w:w="2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Perte de données</w:t>
            </w:r>
          </w:p>
        </w:tc>
        <w:tc>
          <w:tcPr>
            <w:tcW w:type="dxa" w:w="43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Panne, vol ou rançongiciel, sans aucune sauvegarde</w:t>
            </w:r>
          </w:p>
        </w:tc>
        <w:tc>
          <w:tcPr>
            <w:tcW w:type="dxa" w:w="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b w:val="false"/>
                <w:bCs w:val="false"/>
                <w:sz w:val="19"/>
                <w:szCs w:val="19"/>
              </w:rPr>
              <w:t xml:space="preserve">2</w:t>
            </w:r>
          </w:p>
        </w:tc>
        <w:tc>
          <w:tcPr>
            <w:tcW w:type="dxa" w:w="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b w:val="false"/>
                <w:bCs w:val="false"/>
                <w:sz w:val="19"/>
                <w:szCs w:val="19"/>
              </w:rPr>
              <w:t xml:space="preserve">3</w:t>
            </w:r>
          </w:p>
        </w:tc>
        <w:tc>
          <w:tcPr>
            <w:tcW w:type="dxa" w:w="1600"/>
            <w:tcBorders>
              <w:top w:val="single" w:color="BFC8D6" w:sz="4"/>
              <w:left w:val="single" w:color="BFC8D6" w:sz="4"/>
              <w:bottom w:val="single" w:color="BFC8D6" w:sz="4"/>
              <w:right w:val="single" w:color="BFC8D6" w:sz="4"/>
            </w:tcBorders>
            <w:shd w:fill="F4B6B0" w:color="auto" w:val="clear"/>
            <w:tcMar>
              <w:top w:type="dxa" w:w="70"/>
              <w:left w:type="dxa" w:w="100"/>
              <w:bottom w:type="dxa" w:w="70"/>
              <w:right w:type="dxa" w:w="100"/>
            </w:tcMar>
            <w:vAlign w:val="center"/>
          </w:tcPr>
          <w:p>
            <w:pPr>
              <w:spacing w:after="40"/>
              <w:jc w:val="center"/>
            </w:pPr>
            <w:r>
              <w:rPr>
                <w:b/>
                <w:bCs/>
                <w:sz w:val="19"/>
                <w:szCs w:val="19"/>
              </w:rPr>
              <w:t xml:space="preserve">6 – Élevée</w:t>
            </w:r>
          </w:p>
        </w:tc>
      </w:tr>
      <w:tr>
        <w:trPr>
          <w:cantSplit/>
        </w:trPr>
        <w:tc>
          <w:tcPr>
            <w:tcW w:type="dxa" w:w="25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Fraude au faux RIB</w:t>
            </w:r>
          </w:p>
        </w:tc>
        <w:tc>
          <w:tcPr>
            <w:tcW w:type="dxa" w:w="43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Usurpation de l'identité de l'entreprise ou d'un fournisseur</w:t>
            </w:r>
          </w:p>
        </w:tc>
        <w:tc>
          <w:tcPr>
            <w:tcW w:type="dxa" w:w="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center"/>
            </w:pPr>
            <w:r>
              <w:rPr>
                <w:b w:val="false"/>
                <w:bCs w:val="false"/>
                <w:sz w:val="19"/>
                <w:szCs w:val="19"/>
              </w:rPr>
              <w:t xml:space="preserve">2</w:t>
            </w:r>
          </w:p>
        </w:tc>
        <w:tc>
          <w:tcPr>
            <w:tcW w:type="dxa" w:w="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center"/>
            </w:pPr>
            <w:r>
              <w:rPr>
                <w:b w:val="false"/>
                <w:bCs w:val="false"/>
                <w:sz w:val="19"/>
                <w:szCs w:val="19"/>
              </w:rPr>
              <w:t xml:space="preserve">3</w:t>
            </w:r>
          </w:p>
        </w:tc>
        <w:tc>
          <w:tcPr>
            <w:tcW w:type="dxa" w:w="1600"/>
            <w:tcBorders>
              <w:top w:val="single" w:color="BFC8D6" w:sz="4"/>
              <w:left w:val="single" w:color="BFC8D6" w:sz="4"/>
              <w:bottom w:val="single" w:color="BFC8D6" w:sz="4"/>
              <w:right w:val="single" w:color="BFC8D6" w:sz="4"/>
            </w:tcBorders>
            <w:shd w:fill="F4B6B0" w:color="auto" w:val="clear"/>
            <w:tcMar>
              <w:top w:type="dxa" w:w="70"/>
              <w:left w:type="dxa" w:w="100"/>
              <w:bottom w:type="dxa" w:w="70"/>
              <w:right w:type="dxa" w:w="100"/>
            </w:tcMar>
            <w:vAlign w:val="center"/>
          </w:tcPr>
          <w:p>
            <w:pPr>
              <w:spacing w:after="40"/>
              <w:jc w:val="center"/>
            </w:pPr>
            <w:r>
              <w:rPr>
                <w:b/>
                <w:bCs/>
                <w:sz w:val="19"/>
                <w:szCs w:val="19"/>
              </w:rPr>
              <w:t xml:space="preserve">6 – Élevée</w:t>
            </w:r>
          </w:p>
        </w:tc>
      </w:tr>
      <w:tr>
        <w:trPr>
          <w:cantSplit/>
        </w:trPr>
        <w:tc>
          <w:tcPr>
            <w:tcW w:type="dxa" w:w="2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Épuisement des assistantes</w:t>
            </w:r>
          </w:p>
        </w:tc>
        <w:tc>
          <w:tcPr>
            <w:tcW w:type="dxa" w:w="43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Surcharge chronique, risque d'arrêt ou de départ</w:t>
            </w:r>
          </w:p>
        </w:tc>
        <w:tc>
          <w:tcPr>
            <w:tcW w:type="dxa" w:w="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b w:val="false"/>
                <w:bCs w:val="false"/>
                <w:sz w:val="19"/>
                <w:szCs w:val="19"/>
              </w:rPr>
              <w:t xml:space="preserve">2</w:t>
            </w:r>
          </w:p>
        </w:tc>
        <w:tc>
          <w:tcPr>
            <w:tcW w:type="dxa" w:w="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b w:val="false"/>
                <w:bCs w:val="false"/>
                <w:sz w:val="19"/>
                <w:szCs w:val="19"/>
              </w:rPr>
              <w:t xml:space="preserve">3</w:t>
            </w:r>
          </w:p>
        </w:tc>
        <w:tc>
          <w:tcPr>
            <w:tcW w:type="dxa" w:w="1600"/>
            <w:tcBorders>
              <w:top w:val="single" w:color="BFC8D6" w:sz="4"/>
              <w:left w:val="single" w:color="BFC8D6" w:sz="4"/>
              <w:bottom w:val="single" w:color="BFC8D6" w:sz="4"/>
              <w:right w:val="single" w:color="BFC8D6" w:sz="4"/>
            </w:tcBorders>
            <w:shd w:fill="F4B6B0" w:color="auto" w:val="clear"/>
            <w:tcMar>
              <w:top w:type="dxa" w:w="70"/>
              <w:left w:type="dxa" w:w="100"/>
              <w:bottom w:type="dxa" w:w="70"/>
              <w:right w:type="dxa" w:w="100"/>
            </w:tcMar>
            <w:vAlign w:val="center"/>
          </w:tcPr>
          <w:p>
            <w:pPr>
              <w:spacing w:after="40"/>
              <w:jc w:val="center"/>
            </w:pPr>
            <w:r>
              <w:rPr>
                <w:b/>
                <w:bCs/>
                <w:sz w:val="19"/>
                <w:szCs w:val="19"/>
              </w:rPr>
              <w:t xml:space="preserve">6 – Élevée</w:t>
            </w:r>
          </w:p>
        </w:tc>
      </w:tr>
      <w:tr>
        <w:trPr>
          <w:cantSplit/>
        </w:trPr>
        <w:tc>
          <w:tcPr>
            <w:tcW w:type="dxa" w:w="25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Erreur d'indexation gazole</w:t>
            </w:r>
          </w:p>
        </w:tc>
        <w:tc>
          <w:tcPr>
            <w:tcW w:type="dxa" w:w="43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Perte de marge ou litige avec un client</w:t>
            </w:r>
          </w:p>
        </w:tc>
        <w:tc>
          <w:tcPr>
            <w:tcW w:type="dxa" w:w="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center"/>
            </w:pPr>
            <w:r>
              <w:rPr>
                <w:b w:val="false"/>
                <w:bCs w:val="false"/>
                <w:sz w:val="19"/>
                <w:szCs w:val="19"/>
              </w:rPr>
              <w:t xml:space="preserve">2</w:t>
            </w:r>
          </w:p>
        </w:tc>
        <w:tc>
          <w:tcPr>
            <w:tcW w:type="dxa" w:w="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center"/>
            </w:pPr>
            <w:r>
              <w:rPr>
                <w:b w:val="false"/>
                <w:bCs w:val="false"/>
                <w:sz w:val="19"/>
                <w:szCs w:val="19"/>
              </w:rPr>
              <w:t xml:space="preserve">2</w:t>
            </w:r>
          </w:p>
        </w:tc>
        <w:tc>
          <w:tcPr>
            <w:tcW w:type="dxa" w:w="1600"/>
            <w:tcBorders>
              <w:top w:val="single" w:color="BFC8D6" w:sz="4"/>
              <w:left w:val="single" w:color="BFC8D6" w:sz="4"/>
              <w:bottom w:val="single" w:color="BFC8D6" w:sz="4"/>
              <w:right w:val="single" w:color="BFC8D6" w:sz="4"/>
            </w:tcBorders>
            <w:shd w:fill="FCE4B6" w:color="auto" w:val="clear"/>
            <w:tcMar>
              <w:top w:type="dxa" w:w="70"/>
              <w:left w:type="dxa" w:w="100"/>
              <w:bottom w:type="dxa" w:w="70"/>
              <w:right w:type="dxa" w:w="100"/>
            </w:tcMar>
            <w:vAlign w:val="center"/>
          </w:tcPr>
          <w:p>
            <w:pPr>
              <w:spacing w:after="40"/>
              <w:jc w:val="center"/>
            </w:pPr>
            <w:r>
              <w:rPr>
                <w:b/>
                <w:bCs/>
                <w:sz w:val="19"/>
                <w:szCs w:val="19"/>
              </w:rPr>
              <w:t xml:space="preserve">4 – Modérée</w:t>
            </w:r>
          </w:p>
        </w:tc>
      </w:tr>
      <w:tr>
        <w:trPr>
          <w:cantSplit/>
        </w:trPr>
        <w:tc>
          <w:tcPr>
            <w:tcW w:type="dxa" w:w="2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Perte de lettres de voiture</w:t>
            </w:r>
          </w:p>
        </w:tc>
        <w:tc>
          <w:tcPr>
            <w:tcW w:type="dxa" w:w="43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Prestation impossible à facturer ou à prouver</w:t>
            </w:r>
          </w:p>
        </w:tc>
        <w:tc>
          <w:tcPr>
            <w:tcW w:type="dxa" w:w="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b w:val="false"/>
                <w:bCs w:val="false"/>
                <w:sz w:val="19"/>
                <w:szCs w:val="19"/>
              </w:rPr>
              <w:t xml:space="preserve">2</w:t>
            </w:r>
          </w:p>
        </w:tc>
        <w:tc>
          <w:tcPr>
            <w:tcW w:type="dxa" w:w="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b w:val="false"/>
                <w:bCs w:val="false"/>
                <w:sz w:val="19"/>
                <w:szCs w:val="19"/>
              </w:rPr>
              <w:t xml:space="preserve">2</w:t>
            </w:r>
          </w:p>
        </w:tc>
        <w:tc>
          <w:tcPr>
            <w:tcW w:type="dxa" w:w="1600"/>
            <w:tcBorders>
              <w:top w:val="single" w:color="BFC8D6" w:sz="4"/>
              <w:left w:val="single" w:color="BFC8D6" w:sz="4"/>
              <w:bottom w:val="single" w:color="BFC8D6" w:sz="4"/>
              <w:right w:val="single" w:color="BFC8D6" w:sz="4"/>
            </w:tcBorders>
            <w:shd w:fill="FCE4B6" w:color="auto" w:val="clear"/>
            <w:tcMar>
              <w:top w:type="dxa" w:w="70"/>
              <w:left w:type="dxa" w:w="100"/>
              <w:bottom w:type="dxa" w:w="70"/>
              <w:right w:type="dxa" w:w="100"/>
            </w:tcMar>
            <w:vAlign w:val="center"/>
          </w:tcPr>
          <w:p>
            <w:pPr>
              <w:spacing w:after="40"/>
              <w:jc w:val="center"/>
            </w:pPr>
            <w:r>
              <w:rPr>
                <w:b/>
                <w:bCs/>
                <w:sz w:val="19"/>
                <w:szCs w:val="19"/>
              </w:rPr>
              <w:t xml:space="preserve">4 – Modérée</w:t>
            </w:r>
          </w:p>
        </w:tc>
      </w:tr>
      <w:tr>
        <w:trPr>
          <w:cantSplit/>
        </w:trPr>
        <w:tc>
          <w:tcPr>
            <w:tcW w:type="dxa" w:w="25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Perte de compétitivité</w:t>
            </w:r>
          </w:p>
        </w:tc>
        <w:tc>
          <w:tcPr>
            <w:tcW w:type="dxa" w:w="43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Absence de site internet face à des concurrents digitalisés</w:t>
            </w:r>
          </w:p>
        </w:tc>
        <w:tc>
          <w:tcPr>
            <w:tcW w:type="dxa" w:w="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center"/>
            </w:pPr>
            <w:r>
              <w:rPr>
                <w:b w:val="false"/>
                <w:bCs w:val="false"/>
                <w:sz w:val="19"/>
                <w:szCs w:val="19"/>
              </w:rPr>
              <w:t xml:space="preserve">2</w:t>
            </w:r>
          </w:p>
        </w:tc>
        <w:tc>
          <w:tcPr>
            <w:tcW w:type="dxa" w:w="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center"/>
            </w:pPr>
            <w:r>
              <w:rPr>
                <w:b w:val="false"/>
                <w:bCs w:val="false"/>
                <w:sz w:val="19"/>
                <w:szCs w:val="19"/>
              </w:rPr>
              <w:t xml:space="preserve">2</w:t>
            </w:r>
          </w:p>
        </w:tc>
        <w:tc>
          <w:tcPr>
            <w:tcW w:type="dxa" w:w="1600"/>
            <w:tcBorders>
              <w:top w:val="single" w:color="BFC8D6" w:sz="4"/>
              <w:left w:val="single" w:color="BFC8D6" w:sz="4"/>
              <w:bottom w:val="single" w:color="BFC8D6" w:sz="4"/>
              <w:right w:val="single" w:color="BFC8D6" w:sz="4"/>
            </w:tcBorders>
            <w:shd w:fill="FCE4B6" w:color="auto" w:val="clear"/>
            <w:tcMar>
              <w:top w:type="dxa" w:w="70"/>
              <w:left w:type="dxa" w:w="100"/>
              <w:bottom w:type="dxa" w:w="70"/>
              <w:right w:type="dxa" w:w="100"/>
            </w:tcMar>
            <w:vAlign w:val="center"/>
          </w:tcPr>
          <w:p>
            <w:pPr>
              <w:spacing w:after="40"/>
              <w:jc w:val="center"/>
            </w:pPr>
            <w:r>
              <w:rPr>
                <w:b/>
                <w:bCs/>
                <w:sz w:val="19"/>
                <w:szCs w:val="19"/>
              </w:rPr>
              <w:t xml:space="preserve">4 – Modérée</w:t>
            </w:r>
          </w:p>
        </w:tc>
      </w:tr>
      <w:tr>
        <w:trPr>
          <w:cantSplit/>
        </w:trPr>
        <w:tc>
          <w:tcPr>
            <w:tcW w:type="dxa" w:w="2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Non-conformité au RGPD</w:t>
            </w:r>
          </w:p>
        </w:tc>
        <w:tc>
          <w:tcPr>
            <w:tcW w:type="dxa" w:w="43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Données personnelles sur papier et sans protection</w:t>
            </w:r>
          </w:p>
        </w:tc>
        <w:tc>
          <w:tcPr>
            <w:tcW w:type="dxa" w:w="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b w:val="false"/>
                <w:bCs w:val="false"/>
                <w:sz w:val="19"/>
                <w:szCs w:val="19"/>
              </w:rPr>
              <w:t xml:space="preserve">2</w:t>
            </w:r>
          </w:p>
        </w:tc>
        <w:tc>
          <w:tcPr>
            <w:tcW w:type="dxa" w:w="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b w:val="false"/>
                <w:bCs w:val="false"/>
                <w:sz w:val="19"/>
                <w:szCs w:val="19"/>
              </w:rPr>
              <w:t xml:space="preserve">2</w:t>
            </w:r>
          </w:p>
        </w:tc>
        <w:tc>
          <w:tcPr>
            <w:tcW w:type="dxa" w:w="1600"/>
            <w:tcBorders>
              <w:top w:val="single" w:color="BFC8D6" w:sz="4"/>
              <w:left w:val="single" w:color="BFC8D6" w:sz="4"/>
              <w:bottom w:val="single" w:color="BFC8D6" w:sz="4"/>
              <w:right w:val="single" w:color="BFC8D6" w:sz="4"/>
            </w:tcBorders>
            <w:shd w:fill="FCE4B6" w:color="auto" w:val="clear"/>
            <w:tcMar>
              <w:top w:type="dxa" w:w="70"/>
              <w:left w:type="dxa" w:w="100"/>
              <w:bottom w:type="dxa" w:w="70"/>
              <w:right w:type="dxa" w:w="100"/>
            </w:tcMar>
            <w:vAlign w:val="center"/>
          </w:tcPr>
          <w:p>
            <w:pPr>
              <w:spacing w:after="40"/>
              <w:jc w:val="center"/>
            </w:pPr>
            <w:r>
              <w:rPr>
                <w:b/>
                <w:bCs/>
                <w:sz w:val="19"/>
                <w:szCs w:val="19"/>
              </w:rPr>
              <w:t xml:space="preserve">4 – Modérée</w:t>
            </w:r>
          </w:p>
        </w:tc>
      </w:tr>
    </w:tbl>
    <w:p>
      <w:pPr>
        <w:spacing w:after="200" w:before="80"/>
        <w:jc w:val="center"/>
      </w:pPr>
      <w:r>
        <w:rPr>
          <w:i/>
          <w:iCs/>
          <w:color w:val="595959"/>
          <w:sz w:val="18"/>
          <w:szCs w:val="18"/>
        </w:rPr>
        <w:t xml:space="preserve">Tableau 12 – Matrice des risques de la situation actuelle</w:t>
      </w:r>
    </w:p>
    <w:p>
      <w:pPr>
        <w:spacing w:after="120" w:before="0"/>
        <w:jc w:val="both"/>
      </w:pPr>
      <w:r>
        <w:t xml:space="preserve">Sept risques sur onze présentent une criticité élevée. Ils justifient de commencer le projet par une </w:t>
      </w:r>
      <w:r>
        <w:rPr>
          <w:b/>
          <w:bCs/>
        </w:rPr>
        <w:t xml:space="preserve">phase de sécurisation immédiate</w:t>
      </w:r>
      <w:r>
        <w:t xml:space="preserve">, avant même le déploiement du SaaS.</w:t>
      </w:r>
    </w:p>
    <w:p>
      <w:pPr>
        <w:pStyle w:val="Heading1"/>
        <w:pageBreakBefore/>
      </w:pPr>
      <w:r>
        <w:t xml:space="preserve">4. Plan stratégique du projet de transformation numérique</w:t>
      </w:r>
    </w:p>
    <w:p>
      <w:pPr>
        <w:pStyle w:val="Heading2"/>
      </w:pPr>
      <w:r>
        <w:t xml:space="preserve">4.1. Présentation du projet</w:t>
      </w:r>
    </w:p>
    <w:p>
      <w:pPr>
        <w:spacing w:after="120" w:before="0"/>
        <w:jc w:val="both"/>
      </w:pPr>
      <w:r>
        <w:t xml:space="preserve">Notre projet a pour ambition de </w:t>
      </w:r>
      <w:r>
        <w:rPr>
          <w:b/>
          <w:bCs/>
        </w:rPr>
        <w:t xml:space="preserve">faire passer BV2G d'une gestion papier centralisée sur deux personnes à une gestion numérique partagée</w:t>
      </w:r>
      <w:r>
        <w:t xml:space="preserve">, dans laquelle chaque acteur accède directement à l'information dont il a besoin. Il repose sur deux piliers et un socle de sécurité.</w:t>
      </w:r>
    </w:p>
    <w:p>
      <w:pPr>
        <w:pStyle w:val="Heading3"/>
      </w:pPr>
      <w:r>
        <w:t xml:space="preserve">Pilier 1 – Le site internet</w:t>
      </w:r>
    </w:p>
    <w:p>
      <w:pPr>
        <w:pStyle w:val="ListParagraph"/>
        <w:numPr>
          <w:ilvl w:val="0"/>
          <w:numId w:val="2"/>
        </w:numPr>
        <w:spacing w:after="60"/>
        <w:jc w:val="both"/>
      </w:pPr>
      <w:r>
        <w:t xml:space="preserve">une vitrine professionnelle : présentation de l'entreprise, des services, de la flotte, de la zone d'intervention et des engagements RSE ;</w:t>
      </w:r>
    </w:p>
    <w:p>
      <w:pPr>
        <w:pStyle w:val="ListParagraph"/>
        <w:numPr>
          <w:ilvl w:val="0"/>
          <w:numId w:val="2"/>
        </w:numPr>
        <w:spacing w:after="60"/>
        <w:jc w:val="both"/>
      </w:pPr>
      <w:r>
        <w:t xml:space="preserve">un formulaire de demande de devis, relié directement au SaaS ;</w:t>
      </w:r>
    </w:p>
    <w:p>
      <w:pPr>
        <w:pStyle w:val="ListParagraph"/>
        <w:numPr>
          <w:ilvl w:val="0"/>
          <w:numId w:val="2"/>
        </w:numPr>
        <w:spacing w:after="60"/>
        <w:jc w:val="both"/>
      </w:pPr>
      <w:r>
        <w:t xml:space="preserve">une page recrutement pour les chauffeurs et les intérimaires ;</w:t>
      </w:r>
    </w:p>
    <w:p>
      <w:pPr>
        <w:pStyle w:val="ListParagraph"/>
        <w:numPr>
          <w:ilvl w:val="0"/>
          <w:numId w:val="2"/>
        </w:numPr>
        <w:spacing w:after="60"/>
        <w:jc w:val="both"/>
      </w:pPr>
      <w:r>
        <w:t xml:space="preserve">un nom de domaine propre, qui permet de créer des adresses e-mail professionnelles sécurisées ;</w:t>
      </w:r>
    </w:p>
    <w:p>
      <w:pPr>
        <w:pStyle w:val="ListParagraph"/>
        <w:numPr>
          <w:ilvl w:val="0"/>
          <w:numId w:val="2"/>
        </w:numPr>
        <w:spacing w:after="60"/>
        <w:jc w:val="both"/>
      </w:pPr>
      <w:r>
        <w:t xml:space="preserve">à terme, un espace client pour consulter ses factures et ses lettres de voiture.</w:t>
      </w:r>
    </w:p>
    <w:p>
      <w:pPr>
        <w:pStyle w:val="Heading3"/>
      </w:pPr>
      <w:r>
        <w:t xml:space="preserve">Pilier 2 – Le SaaS de gestion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3138"/>
      </w:tblGrid>
      <w:tr>
        <w:trPr>
          <w:cantSplit/>
          <w:tblHeader/>
        </w:trPr>
        <w:tc>
          <w:tcPr>
            <w:tcW w:type="dxa" w:w="23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Module</w:t>
            </w:r>
          </w:p>
        </w:tc>
        <w:tc>
          <w:tcPr>
            <w:tcW w:type="dxa" w:w="42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Fonctionnement</w:t>
            </w:r>
          </w:p>
        </w:tc>
        <w:tc>
          <w:tcPr>
            <w:tcW w:type="dxa" w:w="313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Effet attendu</w:t>
            </w:r>
          </w:p>
        </w:tc>
      </w:tr>
      <w:tr>
        <w:trPr>
          <w:cantSplit/>
        </w:trPr>
        <w:tc>
          <w:tcPr>
            <w:tcW w:type="dxa" w:w="23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Planning numérique</w:t>
            </w:r>
          </w:p>
        </w:tc>
        <w:tc>
          <w:tcPr>
            <w:tcW w:type="dxa" w:w="42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L'assistante construit le planning dans le SaaS ; chaque chauffeur le consulte sur son smartphone et reçoit une notification en cas de modification</w:t>
            </w:r>
          </w:p>
        </w:tc>
        <w:tc>
          <w:tcPr>
            <w:tcW w:type="dxa" w:w="31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Les chauffeurs ne dépendent plus de l'assistante pour connaître leur travail</w:t>
            </w:r>
          </w:p>
        </w:tc>
      </w:tr>
      <w:tr>
        <w:trPr>
          <w:cantSplit/>
        </w:trPr>
        <w:tc>
          <w:tcPr>
            <w:tcW w:type="dxa" w:w="23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Lettres de voiture numérisées</w:t>
            </w:r>
          </w:p>
        </w:tc>
        <w:tc>
          <w:tcPr>
            <w:tcW w:type="dxa" w:w="42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Le chauffeur photographie la lettre signée ou la fait signer directement sur son smartphone (e-CMR)</w:t>
            </w:r>
          </w:p>
        </w:tc>
        <w:tc>
          <w:tcPr>
            <w:tcW w:type="dxa" w:w="31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Fin des dépôts dans la boîte aux lettres ; documents disponibles immédiatement</w:t>
            </w:r>
          </w:p>
        </w:tc>
      </w:tr>
      <w:tr>
        <w:trPr>
          <w:cantSplit/>
        </w:trPr>
        <w:tc>
          <w:tcPr>
            <w:tcW w:type="dxa" w:w="23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Indexation gazole</w:t>
            </w:r>
          </w:p>
        </w:tc>
        <w:tc>
          <w:tcPr>
            <w:tcW w:type="dxa" w:w="42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Le SaaS récupère l'indice gazole du CNR et applique automatiquement la formule prévue au contrat</w:t>
            </w:r>
          </w:p>
        </w:tc>
        <w:tc>
          <w:tcPr>
            <w:tcW w:type="dxa" w:w="31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Fin du calcul manuel ; facture conforme et transparente pour le client</w:t>
            </w:r>
          </w:p>
        </w:tc>
      </w:tr>
      <w:tr>
        <w:trPr>
          <w:cantSplit/>
        </w:trPr>
        <w:tc>
          <w:tcPr>
            <w:tcW w:type="dxa" w:w="23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Pré-facturation par IA</w:t>
            </w:r>
          </w:p>
        </w:tc>
        <w:tc>
          <w:tcPr>
            <w:tcW w:type="dxa" w:w="42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L'IA lit les lettres de voiture, reconnaît le client, la prestation et le tarif, puis prépare la facture</w:t>
            </w:r>
          </w:p>
        </w:tc>
        <w:tc>
          <w:tcPr>
            <w:tcW w:type="dxa" w:w="31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L'assistante contrôle et valide au lieu de saisir</w:t>
            </w:r>
          </w:p>
        </w:tc>
      </w:tr>
      <w:tr>
        <w:trPr>
          <w:cantSplit/>
        </w:trPr>
        <w:tc>
          <w:tcPr>
            <w:tcW w:type="dxa" w:w="23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Relances automatiques</w:t>
            </w:r>
          </w:p>
        </w:tc>
        <w:tc>
          <w:tcPr>
            <w:tcW w:type="dxa" w:w="42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Envoi programmé de rappels avant et après l'échéance, avec un ton adapté à chaque étape</w:t>
            </w:r>
          </w:p>
        </w:tc>
        <w:tc>
          <w:tcPr>
            <w:tcW w:type="dxa" w:w="31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Encaissement plus rapide, sans charge supplémentaire</w:t>
            </w:r>
          </w:p>
        </w:tc>
      </w:tr>
      <w:tr>
        <w:trPr>
          <w:cantSplit/>
        </w:trPr>
        <w:tc>
          <w:tcPr>
            <w:tcW w:type="dxa" w:w="23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Tableau de suivi des factures</w:t>
            </w:r>
          </w:p>
        </w:tc>
        <w:tc>
          <w:tcPr>
            <w:tcW w:type="dxa" w:w="42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Factures émises, payées, en retard ; délai moyen de paiement ; chiffre d'affaires par client</w:t>
            </w:r>
          </w:p>
        </w:tc>
        <w:tc>
          <w:tcPr>
            <w:tcW w:type="dxa" w:w="31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Pilotage de la trésorerie en temps réel par les gérants</w:t>
            </w:r>
          </w:p>
        </w:tc>
      </w:tr>
      <w:tr>
        <w:trPr>
          <w:cantSplit/>
        </w:trPr>
        <w:tc>
          <w:tcPr>
            <w:tcW w:type="dxa" w:w="23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Facture électronique et export comptable</w:t>
            </w:r>
          </w:p>
        </w:tc>
        <w:tc>
          <w:tcPr>
            <w:tcW w:type="dxa" w:w="42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Connexion à une plateforme agréée et export vers l'expert-comptable</w:t>
            </w:r>
          </w:p>
        </w:tc>
        <w:tc>
          <w:tcPr>
            <w:tcW w:type="dxa" w:w="31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Conformité 2026-2027 ; fin des ressaisies</w:t>
            </w:r>
          </w:p>
        </w:tc>
      </w:tr>
    </w:tbl>
    <w:p>
      <w:pPr>
        <w:spacing w:after="200" w:before="80"/>
        <w:jc w:val="center"/>
      </w:pPr>
      <w:r>
        <w:rPr>
          <w:i/>
          <w:iCs/>
          <w:color w:val="595959"/>
          <w:sz w:val="18"/>
          <w:szCs w:val="18"/>
        </w:rPr>
        <w:t xml:space="preserve">Tableau 13 – Les modules du SaaS de gestion</w:t>
      </w:r>
    </w:p>
    <w:p>
      <w:pPr>
        <w:pStyle w:val="Heading3"/>
      </w:pPr>
      <w:r>
        <w:t xml:space="preserve">Socle – La sécurité</w:t>
      </w:r>
    </w:p>
    <w:p>
      <w:pPr>
        <w:spacing w:after="120" w:before="0"/>
        <w:jc w:val="both"/>
      </w:pPr>
      <w:r>
        <w:t xml:space="preserve">Messagerie professionnelle avec double authentification, sauvegardes automatiques, gestion des droits d'accès dans le SaaS et sensibilisation des utilisateurs (voir 3.4).</w:t>
      </w:r>
    </w:p>
    <w:p>
      <w:pPr>
        <w:pStyle w:val="Heading3"/>
      </w:pPr>
      <w:r>
        <w:t xml:space="preserve">Le choix de la solution</w:t>
      </w:r>
    </w:p>
    <w:p>
      <w:pPr>
        <w:spacing w:after="120" w:before="0"/>
        <w:jc w:val="both"/>
      </w:pPr>
      <w:r>
        <w:t xml:space="preserve">Pour le SaaS, deux options seront comparées : </w:t>
      </w:r>
      <w:r>
        <w:rPr>
          <w:b/>
          <w:bCs/>
        </w:rPr>
        <w:t xml:space="preserve">une solution du marché</w:t>
      </w:r>
      <w:r>
        <w:t xml:space="preserve"> (logiciel de gestion du transport en SaaS, déjà doté de la plupart des modules) ou </w:t>
      </w:r>
      <w:r>
        <w:rPr>
          <w:b/>
          <w:bCs/>
        </w:rPr>
        <w:t xml:space="preserve">une solution sur mesure</w:t>
      </w:r>
      <w:r>
        <w:t xml:space="preserve">, construite autour des besoins précis de BV2G à partir d'outils d'automatisation et d'IA. La possibilité d'exploiter davantage DH DOC sera également étudiée, afin de ne pas multiplier les outils. Les critères de choix seront la couverture fonctionnelle, la simplicité pour les chauffeurs, le coût total, l'hébergement des données en Europe, la connexion à une plateforme agréée et la </w:t>
      </w:r>
      <w:r>
        <w:rPr>
          <w:b/>
          <w:bCs/>
        </w:rPr>
        <w:t xml:space="preserve">réversibilité</w:t>
      </w:r>
      <w:r>
        <w:t xml:space="preserve">, c'est-à-dire la possibilité de récupérer ses données en cas de changement de prestataire.</w:t>
      </w:r>
    </w:p>
    <w:p>
      <w:pPr>
        <w:pStyle w:val="Heading2"/>
      </w:pPr>
      <w:r>
        <w:t xml:space="preserve">4.2. Les objectifs</w:t>
      </w:r>
    </w:p>
    <w:p>
      <w:pPr>
        <w:spacing w:after="120" w:before="0"/>
        <w:jc w:val="both"/>
      </w:pPr>
      <w:r>
        <w:t xml:space="preserve">Nous avons fixé des objectifs SMART : spécifiques, mesurables, atteignables, réalistes et définis dans le temps.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2700"/>
        <w:gridCol w:w="1900"/>
        <w:gridCol w:w="1938"/>
      </w:tblGrid>
      <w:tr>
        <w:trPr>
          <w:cantSplit/>
          <w:tblHeader/>
        </w:trPr>
        <w:tc>
          <w:tcPr>
            <w:tcW w:type="dxa" w:w="31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Objectif</w:t>
            </w:r>
          </w:p>
        </w:tc>
        <w:tc>
          <w:tcPr>
            <w:tcW w:type="dxa" w:w="27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Indicateur</w:t>
            </w:r>
          </w:p>
        </w:tc>
        <w:tc>
          <w:tcPr>
            <w:tcW w:type="dxa" w:w="19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Cible</w:t>
            </w:r>
          </w:p>
        </w:tc>
        <w:tc>
          <w:tcPr>
            <w:tcW w:type="dxa" w:w="193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Échéance</w:t>
            </w:r>
          </w:p>
        </w:tc>
      </w:tr>
      <w:tr>
        <w:trPr>
          <w:cantSplit/>
        </w:trPr>
        <w:tc>
          <w:tcPr>
            <w:tcW w:type="dxa" w:w="31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O1 – Sécuriser le système d'information</w:t>
            </w:r>
          </w:p>
        </w:tc>
        <w:tc>
          <w:tcPr>
            <w:tcW w:type="dxa" w:w="2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Messagerie protégée, sauvegardes testées</w:t>
            </w:r>
          </w:p>
        </w:tc>
        <w:tc>
          <w:tcPr>
            <w:tcW w:type="dxa" w:w="1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100 % ; aucun incident</w:t>
            </w:r>
          </w:p>
        </w:tc>
        <w:tc>
          <w:tcPr>
            <w:tcW w:type="dxa" w:w="19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Décembre 2026</w:t>
            </w:r>
          </w:p>
        </w:tc>
      </w:tr>
      <w:tr>
        <w:trPr>
          <w:cantSplit/>
        </w:trPr>
        <w:tc>
          <w:tcPr>
            <w:tcW w:type="dxa" w:w="31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O2 – Être visible en ligne</w:t>
            </w:r>
          </w:p>
        </w:tc>
        <w:tc>
          <w:tcPr>
            <w:tcW w:type="dxa" w:w="27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Site publié ; demandes de devis reçues</w:t>
            </w:r>
          </w:p>
        </w:tc>
        <w:tc>
          <w:tcPr>
            <w:tcW w:type="dxa" w:w="1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5 demandes par mois</w:t>
            </w:r>
          </w:p>
        </w:tc>
        <w:tc>
          <w:tcPr>
            <w:tcW w:type="dxa" w:w="19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Mars 2027</w:t>
            </w:r>
          </w:p>
        </w:tc>
      </w:tr>
      <w:tr>
        <w:trPr>
          <w:cantSplit/>
        </w:trPr>
        <w:tc>
          <w:tcPr>
            <w:tcW w:type="dxa" w:w="31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O3 – Digitaliser les plannings</w:t>
            </w:r>
          </w:p>
        </w:tc>
        <w:tc>
          <w:tcPr>
            <w:tcW w:type="dxa" w:w="2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Part des plannings diffusés par le SaaS</w:t>
            </w:r>
          </w:p>
        </w:tc>
        <w:tc>
          <w:tcPr>
            <w:tcW w:type="dxa" w:w="1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100 %</w:t>
            </w:r>
          </w:p>
        </w:tc>
        <w:tc>
          <w:tcPr>
            <w:tcW w:type="dxa" w:w="19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Mars 2027</w:t>
            </w:r>
          </w:p>
        </w:tc>
      </w:tr>
      <w:tr>
        <w:trPr>
          <w:cantSplit/>
        </w:trPr>
        <w:tc>
          <w:tcPr>
            <w:tcW w:type="dxa" w:w="31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O4 – Supprimer le papier des lettres de voiture</w:t>
            </w:r>
          </w:p>
        </w:tc>
        <w:tc>
          <w:tcPr>
            <w:tcW w:type="dxa" w:w="27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Part des lettres numérisées</w:t>
            </w:r>
          </w:p>
        </w:tc>
        <w:tc>
          <w:tcPr>
            <w:tcW w:type="dxa" w:w="1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100 %</w:t>
            </w:r>
          </w:p>
        </w:tc>
        <w:tc>
          <w:tcPr>
            <w:tcW w:type="dxa" w:w="19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Avril 2027</w:t>
            </w:r>
          </w:p>
        </w:tc>
      </w:tr>
      <w:tr>
        <w:trPr>
          <w:cantSplit/>
        </w:trPr>
        <w:tc>
          <w:tcPr>
            <w:tcW w:type="dxa" w:w="31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O5 – Automatiser l'indexation gazole</w:t>
            </w:r>
          </w:p>
        </w:tc>
        <w:tc>
          <w:tcPr>
            <w:tcW w:type="dxa" w:w="2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Part des factures indexées automatiquement</w:t>
            </w:r>
          </w:p>
        </w:tc>
        <w:tc>
          <w:tcPr>
            <w:tcW w:type="dxa" w:w="1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100 %</w:t>
            </w:r>
          </w:p>
        </w:tc>
        <w:tc>
          <w:tcPr>
            <w:tcW w:type="dxa" w:w="19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Mai 2027</w:t>
            </w:r>
          </w:p>
        </w:tc>
      </w:tr>
      <w:tr>
        <w:trPr>
          <w:cantSplit/>
        </w:trPr>
        <w:tc>
          <w:tcPr>
            <w:tcW w:type="dxa" w:w="31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O6 – Facturer plus vite</w:t>
            </w:r>
          </w:p>
        </w:tc>
        <w:tc>
          <w:tcPr>
            <w:tcW w:type="dxa" w:w="27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Délai entre la livraison et la facture</w:t>
            </w:r>
          </w:p>
        </w:tc>
        <w:tc>
          <w:tcPr>
            <w:tcW w:type="dxa" w:w="1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Moins de 48 h</w:t>
            </w:r>
          </w:p>
        </w:tc>
        <w:tc>
          <w:tcPr>
            <w:tcW w:type="dxa" w:w="19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Juin 2027</w:t>
            </w:r>
          </w:p>
        </w:tc>
      </w:tr>
      <w:tr>
        <w:trPr>
          <w:cantSplit/>
        </w:trPr>
        <w:tc>
          <w:tcPr>
            <w:tcW w:type="dxa" w:w="31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O7 – Être payé plus vite</w:t>
            </w:r>
          </w:p>
        </w:tc>
        <w:tc>
          <w:tcPr>
            <w:tcW w:type="dxa" w:w="2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Montant des factures en retard</w:t>
            </w:r>
          </w:p>
        </w:tc>
        <w:tc>
          <w:tcPr>
            <w:tcW w:type="dxa" w:w="1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 30 %</w:t>
            </w:r>
          </w:p>
        </w:tc>
        <w:tc>
          <w:tcPr>
            <w:tcW w:type="dxa" w:w="19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Septembre 2027</w:t>
            </w:r>
          </w:p>
        </w:tc>
      </w:tr>
      <w:tr>
        <w:trPr>
          <w:cantSplit/>
        </w:trPr>
        <w:tc>
          <w:tcPr>
            <w:tcW w:type="dxa" w:w="31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O8 – Être conforme à la facture électronique</w:t>
            </w:r>
          </w:p>
        </w:tc>
        <w:tc>
          <w:tcPr>
            <w:tcW w:type="dxa" w:w="27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Factures reçues et émises via une plateforme agréée</w:t>
            </w:r>
          </w:p>
        </w:tc>
        <w:tc>
          <w:tcPr>
            <w:tcW w:type="dxa" w:w="1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100 %</w:t>
            </w:r>
          </w:p>
        </w:tc>
        <w:tc>
          <w:tcPr>
            <w:tcW w:type="dxa" w:w="19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Réception : déc. 2026 ; émission : avant le 1er sept. 2027</w:t>
            </w:r>
          </w:p>
        </w:tc>
      </w:tr>
      <w:tr>
        <w:trPr>
          <w:cantSplit/>
        </w:trPr>
        <w:tc>
          <w:tcPr>
            <w:tcW w:type="dxa" w:w="31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O9 – Réduire la charge administrative</w:t>
            </w:r>
          </w:p>
        </w:tc>
        <w:tc>
          <w:tcPr>
            <w:tcW w:type="dxa" w:w="2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Heures administratives par semaine</w:t>
            </w:r>
          </w:p>
        </w:tc>
        <w:tc>
          <w:tcPr>
            <w:tcW w:type="dxa" w:w="1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 50 %, soit 1 poste d'assistante au lieu de 2</w:t>
            </w:r>
          </w:p>
        </w:tc>
        <w:tc>
          <w:tcPr>
            <w:tcW w:type="dxa" w:w="19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Septembre 2027</w:t>
            </w:r>
          </w:p>
        </w:tc>
      </w:tr>
    </w:tbl>
    <w:p>
      <w:pPr>
        <w:spacing w:after="200" w:before="80"/>
        <w:jc w:val="center"/>
      </w:pPr>
      <w:r>
        <w:rPr>
          <w:i/>
          <w:iCs/>
          <w:color w:val="595959"/>
          <w:sz w:val="18"/>
          <w:szCs w:val="18"/>
        </w:rPr>
        <w:t xml:space="preserve">Tableau 14 – Objectifs SMART du projet</w:t>
      </w:r>
    </w:p>
    <w:p>
      <w:pPr>
        <w:pStyle w:val="Heading2"/>
      </w:pPr>
      <w:r>
        <w:t xml:space="preserve">4.3. Les étapes clés et les délais</w:t>
      </w:r>
    </w:p>
    <w:p>
      <w:pPr>
        <w:spacing w:after="120" w:before="0"/>
        <w:jc w:val="both"/>
      </w:pPr>
      <w:r>
        <w:t xml:space="preserve">Le projet se déroule sur douze mois, de novembre 2026 à octobre 2027. Le déploiement est progressif, module par module, pour ne jamais interrompre l'activité. Un fonctionnement en parallèle (papier et numérique) est prévu pendant un mois pour chaque module.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600"/>
        <w:gridCol w:w="3900"/>
        <w:gridCol w:w="1838"/>
      </w:tblGrid>
      <w:tr>
        <w:trPr>
          <w:cantSplit/>
          <w:tblHeader/>
        </w:trPr>
        <w:tc>
          <w:tcPr>
            <w:tcW w:type="dxa" w:w="23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Phase</w:t>
            </w:r>
          </w:p>
        </w:tc>
        <w:tc>
          <w:tcPr>
            <w:tcW w:type="dxa" w:w="16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Période</w:t>
            </w:r>
          </w:p>
        </w:tc>
        <w:tc>
          <w:tcPr>
            <w:tcW w:type="dxa" w:w="39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Contenu</w:t>
            </w:r>
          </w:p>
        </w:tc>
        <w:tc>
          <w:tcPr>
            <w:tcW w:type="dxa" w:w="183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Livrable</w:t>
            </w:r>
          </w:p>
        </w:tc>
      </w:tr>
      <w:tr>
        <w:trPr>
          <w:cantSplit/>
        </w:trPr>
        <w:tc>
          <w:tcPr>
            <w:tcW w:type="dxa" w:w="23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0. Cadrage</w:t>
            </w:r>
          </w:p>
        </w:tc>
        <w:tc>
          <w:tcPr>
            <w:tcW w:type="dxa" w:w="1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Nov. 2026</w:t>
            </w:r>
          </w:p>
        </w:tc>
        <w:tc>
          <w:tcPr>
            <w:tcW w:type="dxa" w:w="3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Validation du projet par les gérants, cahier des charges, budget, constitution de l'équipe projet</w:t>
            </w:r>
          </w:p>
        </w:tc>
        <w:tc>
          <w:tcPr>
            <w:tcW w:type="dxa" w:w="18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Cahier des charges validé</w:t>
            </w:r>
          </w:p>
        </w:tc>
      </w:tr>
      <w:tr>
        <w:trPr>
          <w:cantSplit/>
        </w:trPr>
        <w:tc>
          <w:tcPr>
            <w:tcW w:type="dxa" w:w="23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1. Sécurisation immédiate</w:t>
            </w:r>
          </w:p>
        </w:tc>
        <w:tc>
          <w:tcPr>
            <w:tcW w:type="dxa" w:w="1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Nov. – déc. 2026</w:t>
            </w:r>
          </w:p>
        </w:tc>
        <w:tc>
          <w:tcPr>
            <w:tcW w:type="dxa" w:w="3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Messagerie professionnelle, double authentification, sauvegardes, sensibilisation ; choix d'une plateforme agréée pour recevoir les factures électroniques</w:t>
            </w:r>
          </w:p>
        </w:tc>
        <w:tc>
          <w:tcPr>
            <w:tcW w:type="dxa" w:w="18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Système d'information sécurisé</w:t>
            </w:r>
          </w:p>
        </w:tc>
      </w:tr>
      <w:tr>
        <w:trPr>
          <w:cantSplit/>
        </w:trPr>
        <w:tc>
          <w:tcPr>
            <w:tcW w:type="dxa" w:w="23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2. Choix des solutions</w:t>
            </w:r>
          </w:p>
        </w:tc>
        <w:tc>
          <w:tcPr>
            <w:tcW w:type="dxa" w:w="1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Déc. 2026 – janv. 2027</w:t>
            </w:r>
          </w:p>
        </w:tc>
        <w:tc>
          <w:tcPr>
            <w:tcW w:type="dxa" w:w="3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Démonstrations et tests de SaaS, choix du prestataire web, négociation des contrats (RGPD, réversibilité)</w:t>
            </w:r>
          </w:p>
        </w:tc>
        <w:tc>
          <w:tcPr>
            <w:tcW w:type="dxa" w:w="18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Contrats signés</w:t>
            </w:r>
          </w:p>
        </w:tc>
      </w:tr>
      <w:tr>
        <w:trPr>
          <w:cantSplit/>
        </w:trPr>
        <w:tc>
          <w:tcPr>
            <w:tcW w:type="dxa" w:w="23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3. Site internet</w:t>
            </w:r>
          </w:p>
        </w:tc>
        <w:tc>
          <w:tcPr>
            <w:tcW w:type="dxa" w:w="1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Janv. – mars 2027</w:t>
            </w:r>
          </w:p>
        </w:tc>
        <w:tc>
          <w:tcPr>
            <w:tcW w:type="dxa" w:w="3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Rédaction des contenus, conception, référencement local, mise en ligne</w:t>
            </w:r>
          </w:p>
        </w:tc>
        <w:tc>
          <w:tcPr>
            <w:tcW w:type="dxa" w:w="18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Site publié</w:t>
            </w:r>
          </w:p>
        </w:tc>
      </w:tr>
      <w:tr>
        <w:trPr>
          <w:cantSplit/>
        </w:trPr>
        <w:tc>
          <w:tcPr>
            <w:tcW w:type="dxa" w:w="23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4. Déploiement du SaaS</w:t>
            </w:r>
          </w:p>
        </w:tc>
        <w:tc>
          <w:tcPr>
            <w:tcW w:type="dxa" w:w="1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Févr. – juin 2027</w:t>
            </w:r>
          </w:p>
        </w:tc>
        <w:tc>
          <w:tcPr>
            <w:tcW w:type="dxa" w:w="3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Planning et application chauffeurs (févr.-mars) ; lettres de voiture numériques (mars-avr.) ; indexation et pré-facturation IA (avr.-mai) ; relances et tableau de suivi (mai-juin)</w:t>
            </w:r>
          </w:p>
        </w:tc>
        <w:tc>
          <w:tcPr>
            <w:tcW w:type="dxa" w:w="18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SaaS opérationnel</w:t>
            </w:r>
          </w:p>
        </w:tc>
      </w:tr>
      <w:tr>
        <w:trPr>
          <w:cantSplit/>
        </w:trPr>
        <w:tc>
          <w:tcPr>
            <w:tcW w:type="dxa" w:w="23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5. Formation et accompagnement</w:t>
            </w:r>
          </w:p>
        </w:tc>
        <w:tc>
          <w:tcPr>
            <w:tcW w:type="dxa" w:w="1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Févr. – juin 2027</w:t>
            </w:r>
          </w:p>
        </w:tc>
        <w:tc>
          <w:tcPr>
            <w:tcW w:type="dxa" w:w="3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Formation de la référente, ateliers chauffeurs, tutoriels vidéo, test pilote avec deux chauffeurs volontaires</w:t>
            </w:r>
          </w:p>
        </w:tc>
        <w:tc>
          <w:tcPr>
            <w:tcW w:type="dxa" w:w="18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Utilisateurs autonomes</w:t>
            </w:r>
          </w:p>
        </w:tc>
      </w:tr>
      <w:tr>
        <w:trPr>
          <w:cantSplit/>
        </w:trPr>
        <w:tc>
          <w:tcPr>
            <w:tcW w:type="dxa" w:w="23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6. Généralisation et réorganisation</w:t>
            </w:r>
          </w:p>
        </w:tc>
        <w:tc>
          <w:tcPr>
            <w:tcW w:type="dxa" w:w="1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Juin – sept. 2027</w:t>
            </w:r>
          </w:p>
        </w:tc>
        <w:tc>
          <w:tcPr>
            <w:tcW w:type="dxa" w:w="3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Émission des factures électroniques, abandon du papier, nouvelle organisation du poste d'assistante</w:t>
            </w:r>
          </w:p>
        </w:tc>
        <w:tc>
          <w:tcPr>
            <w:tcW w:type="dxa" w:w="18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Organisation cible en place</w:t>
            </w:r>
          </w:p>
        </w:tc>
      </w:tr>
      <w:tr>
        <w:trPr>
          <w:cantSplit/>
        </w:trPr>
        <w:tc>
          <w:tcPr>
            <w:tcW w:type="dxa" w:w="23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7. Bilan</w:t>
            </w:r>
          </w:p>
        </w:tc>
        <w:tc>
          <w:tcPr>
            <w:tcW w:type="dxa" w:w="1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Sept. – oct. 2027</w:t>
            </w:r>
          </w:p>
        </w:tc>
        <w:tc>
          <w:tcPr>
            <w:tcW w:type="dxa" w:w="3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Mesure des indicateurs, retours des utilisateurs, plan d'amélioration</w:t>
            </w:r>
          </w:p>
        </w:tc>
        <w:tc>
          <w:tcPr>
            <w:tcW w:type="dxa" w:w="18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Rapport de bilan</w:t>
            </w:r>
          </w:p>
        </w:tc>
      </w:tr>
    </w:tbl>
    <w:p>
      <w:pPr>
        <w:spacing w:after="200" w:before="80"/>
        <w:jc w:val="center"/>
      </w:pPr>
      <w:r>
        <w:rPr>
          <w:i/>
          <w:iCs/>
          <w:color w:val="595959"/>
          <w:sz w:val="18"/>
          <w:szCs w:val="18"/>
        </w:rPr>
        <w:t xml:space="preserve">Tableau 15 – Les phases du projet</w:t>
      </w:r>
    </w:p>
    <w:p>
      <w:pPr>
        <w:keepNext/>
        <w:spacing w:after="80" w:before="120"/>
      </w:pPr>
      <w:r>
        <w:rPr>
          <w:b/>
          <w:bCs/>
          <w:color w:val="1F3864"/>
        </w:rPr>
        <w:t xml:space="preserve">Diagramme de Gantt</w:t>
      </w:r>
      <w:r>
        <w:rPr>
          <w:color w:val="1F3864"/>
        </w:rPr>
        <w:t xml:space="preserve"> (novembre 2026 à octobre 2027)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98"/>
        <w:gridCol w:w="545"/>
        <w:gridCol w:w="545"/>
        <w:gridCol w:w="545"/>
        <w:gridCol w:w="545"/>
        <w:gridCol w:w="545"/>
        <w:gridCol w:w="545"/>
        <w:gridCol w:w="545"/>
        <w:gridCol w:w="545"/>
        <w:gridCol w:w="545"/>
        <w:gridCol w:w="545"/>
        <w:gridCol w:w="545"/>
        <w:gridCol w:w="545"/>
      </w:tblGrid>
      <w:tr>
        <w:trPr>
          <w:tblHeader/>
        </w:trPr>
        <w:tc>
          <w:tcPr>
            <w:tcW w:type="dxa" w:w="309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Phase</w:t>
            </w:r>
          </w:p>
        </w:tc>
        <w:tc>
          <w:tcPr>
            <w:tcW w:type="dxa" w:w="545"/>
            <w:tcBorders>
              <w:top w:val="single" w:color="BFC8D6" w:sz="4"/>
              <w:left w:val="single" w:color="BFC8D6" w:sz="4"/>
              <w:bottom w:val="single" w:color="BFC8D6" w:sz="4"/>
              <w:right w:val="single" w:color="BFC8D6" w:sz="4"/>
            </w:tcBorders>
            <w:shd w:fill="3A5A94" w:color="auto" w:val="clear"/>
            <w:tcMar>
              <w:top w:type="dxa" w:w="70"/>
              <w:left w:type="dxa" w:w="100"/>
              <w:bottom w:type="dxa" w:w="70"/>
              <w:right w:type="dxa" w:w="100"/>
            </w:tcMar>
            <w:vAlign w:val="center"/>
          </w:tcPr>
          <w:p>
            <w:pPr>
              <w:spacing w:after="40"/>
              <w:jc w:val="center"/>
            </w:pPr>
            <w:r>
              <w:rPr>
                <w:b/>
                <w:bCs/>
                <w:color w:val="FFFFFF"/>
                <w:sz w:val="19"/>
                <w:szCs w:val="19"/>
              </w:rPr>
              <w:t xml:space="preserve">N</w:t>
            </w:r>
          </w:p>
        </w:tc>
        <w:tc>
          <w:tcPr>
            <w:tcW w:type="dxa" w:w="545"/>
            <w:tcBorders>
              <w:top w:val="single" w:color="BFC8D6" w:sz="4"/>
              <w:left w:val="single" w:color="BFC8D6" w:sz="4"/>
              <w:bottom w:val="single" w:color="BFC8D6" w:sz="4"/>
              <w:right w:val="single" w:color="BFC8D6" w:sz="4"/>
            </w:tcBorders>
            <w:shd w:fill="3A5A94" w:color="auto" w:val="clear"/>
            <w:tcMar>
              <w:top w:type="dxa" w:w="70"/>
              <w:left w:type="dxa" w:w="100"/>
              <w:bottom w:type="dxa" w:w="70"/>
              <w:right w:type="dxa" w:w="100"/>
            </w:tcMar>
            <w:vAlign w:val="center"/>
          </w:tcPr>
          <w:p>
            <w:pPr>
              <w:spacing w:after="40"/>
              <w:jc w:val="center"/>
            </w:pPr>
            <w:r>
              <w:rPr>
                <w:b/>
                <w:bCs/>
                <w:color w:val="FFFFFF"/>
                <w:sz w:val="19"/>
                <w:szCs w:val="19"/>
              </w:rPr>
              <w:t xml:space="preserve">D</w:t>
            </w:r>
          </w:p>
        </w:tc>
        <w:tc>
          <w:tcPr>
            <w:tcW w:type="dxa" w:w="545"/>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center"/>
            </w:pPr>
            <w:r>
              <w:rPr>
                <w:b/>
                <w:bCs/>
                <w:color w:val="FFFFFF"/>
                <w:sz w:val="19"/>
                <w:szCs w:val="19"/>
              </w:rPr>
              <w:t xml:space="preserve">J</w:t>
            </w:r>
          </w:p>
        </w:tc>
        <w:tc>
          <w:tcPr>
            <w:tcW w:type="dxa" w:w="545"/>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center"/>
            </w:pPr>
            <w:r>
              <w:rPr>
                <w:b/>
                <w:bCs/>
                <w:color w:val="FFFFFF"/>
                <w:sz w:val="19"/>
                <w:szCs w:val="19"/>
              </w:rPr>
              <w:t xml:space="preserve">F</w:t>
            </w:r>
          </w:p>
        </w:tc>
        <w:tc>
          <w:tcPr>
            <w:tcW w:type="dxa" w:w="545"/>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center"/>
            </w:pPr>
            <w:r>
              <w:rPr>
                <w:b/>
                <w:bCs/>
                <w:color w:val="FFFFFF"/>
                <w:sz w:val="19"/>
                <w:szCs w:val="19"/>
              </w:rPr>
              <w:t xml:space="preserve">M</w:t>
            </w:r>
          </w:p>
        </w:tc>
        <w:tc>
          <w:tcPr>
            <w:tcW w:type="dxa" w:w="545"/>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center"/>
            </w:pPr>
            <w:r>
              <w:rPr>
                <w:b/>
                <w:bCs/>
                <w:color w:val="FFFFFF"/>
                <w:sz w:val="19"/>
                <w:szCs w:val="19"/>
              </w:rPr>
              <w:t xml:space="preserve">A</w:t>
            </w:r>
          </w:p>
        </w:tc>
        <w:tc>
          <w:tcPr>
            <w:tcW w:type="dxa" w:w="545"/>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center"/>
            </w:pPr>
            <w:r>
              <w:rPr>
                <w:b/>
                <w:bCs/>
                <w:color w:val="FFFFFF"/>
                <w:sz w:val="19"/>
                <w:szCs w:val="19"/>
              </w:rPr>
              <w:t xml:space="preserve">M</w:t>
            </w:r>
          </w:p>
        </w:tc>
        <w:tc>
          <w:tcPr>
            <w:tcW w:type="dxa" w:w="545"/>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center"/>
            </w:pPr>
            <w:r>
              <w:rPr>
                <w:b/>
                <w:bCs/>
                <w:color w:val="FFFFFF"/>
                <w:sz w:val="19"/>
                <w:szCs w:val="19"/>
              </w:rPr>
              <w:t xml:space="preserve">J</w:t>
            </w:r>
          </w:p>
        </w:tc>
        <w:tc>
          <w:tcPr>
            <w:tcW w:type="dxa" w:w="545"/>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center"/>
            </w:pPr>
            <w:r>
              <w:rPr>
                <w:b/>
                <w:bCs/>
                <w:color w:val="FFFFFF"/>
                <w:sz w:val="19"/>
                <w:szCs w:val="19"/>
              </w:rPr>
              <w:t xml:space="preserve">J</w:t>
            </w:r>
          </w:p>
        </w:tc>
        <w:tc>
          <w:tcPr>
            <w:tcW w:type="dxa" w:w="545"/>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center"/>
            </w:pPr>
            <w:r>
              <w:rPr>
                <w:b/>
                <w:bCs/>
                <w:color w:val="FFFFFF"/>
                <w:sz w:val="19"/>
                <w:szCs w:val="19"/>
              </w:rPr>
              <w:t xml:space="preserve">A</w:t>
            </w:r>
          </w:p>
        </w:tc>
        <w:tc>
          <w:tcPr>
            <w:tcW w:type="dxa" w:w="545"/>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center"/>
            </w:pPr>
            <w:r>
              <w:rPr>
                <w:b/>
                <w:bCs/>
                <w:color w:val="FFFFFF"/>
                <w:sz w:val="19"/>
                <w:szCs w:val="19"/>
              </w:rPr>
              <w:t xml:space="preserve">S</w:t>
            </w:r>
          </w:p>
        </w:tc>
        <w:tc>
          <w:tcPr>
            <w:tcW w:type="dxa" w:w="545"/>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center"/>
            </w:pPr>
            <w:r>
              <w:rPr>
                <w:b/>
                <w:bCs/>
                <w:color w:val="FFFFFF"/>
                <w:sz w:val="19"/>
                <w:szCs w:val="19"/>
              </w:rPr>
              <w:t xml:space="preserve">O</w:t>
            </w:r>
          </w:p>
        </w:tc>
      </w:tr>
      <w:tr>
        <w:tc>
          <w:tcPr>
            <w:tcW w:type="dxa" w:w="309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0. Cadrage</w:t>
            </w: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r>
      <w:tr>
        <w:tc>
          <w:tcPr>
            <w:tcW w:type="dxa" w:w="309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1. Sécurisation</w:t>
            </w: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r>
      <w:tr>
        <w:tc>
          <w:tcPr>
            <w:tcW w:type="dxa" w:w="309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2. Choix des solutions</w:t>
            </w: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r>
      <w:tr>
        <w:tc>
          <w:tcPr>
            <w:tcW w:type="dxa" w:w="309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3. Site internet</w:t>
            </w: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r>
      <w:tr>
        <w:tc>
          <w:tcPr>
            <w:tcW w:type="dxa" w:w="309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4. Déploiement du SaaS</w:t>
            </w: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r>
      <w:tr>
        <w:tc>
          <w:tcPr>
            <w:tcW w:type="dxa" w:w="309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5. Formation</w:t>
            </w: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r>
      <w:tr>
        <w:tc>
          <w:tcPr>
            <w:tcW w:type="dxa" w:w="309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6. Généralisation</w:t>
            </w: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p>
        </w:tc>
      </w:tr>
      <w:tr>
        <w:tc>
          <w:tcPr>
            <w:tcW w:type="dxa" w:w="309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7. Bilan</w:t>
            </w: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c>
          <w:tcPr>
            <w:tcW w:type="dxa" w:w="545"/>
            <w:tcBorders>
              <w:top w:val="single" w:color="BFC8D6" w:sz="4"/>
              <w:left w:val="single" w:color="BFC8D6" w:sz="4"/>
              <w:bottom w:val="single" w:color="BFC8D6" w:sz="4"/>
              <w:right w:val="single" w:color="BFC8D6" w:sz="4"/>
            </w:tcBorders>
            <w:shd w:fill="2E75B6" w:color="auto" w:val="clear"/>
            <w:tcMar>
              <w:top w:type="dxa" w:w="70"/>
              <w:left w:type="dxa" w:w="100"/>
              <w:bottom w:type="dxa" w:w="70"/>
              <w:right w:type="dxa" w:w="100"/>
            </w:tcMar>
            <w:vAlign w:val="center"/>
          </w:tcPr>
          <w:p>
            <w:pPr>
              <w:spacing w:after="40"/>
              <w:jc w:val="left"/>
            </w:pPr>
          </w:p>
        </w:tc>
      </w:tr>
      <w:tr>
        <w:tc>
          <w:tcPr>
            <w:tcW w:type="dxa" w:w="309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C55A11"/>
                <w:sz w:val="19"/>
                <w:szCs w:val="19"/>
              </w:rPr>
              <w:t xml:space="preserve">Jalons</w:t>
            </w: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b/>
                <w:bCs/>
                <w:color w:val="C55A11"/>
                <w:sz w:val="15"/>
                <w:szCs w:val="15"/>
              </w:rPr>
              <w:t xml:space="preserve">◆ J1</w:t>
            </w: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b/>
                <w:bCs/>
                <w:color w:val="C55A11"/>
                <w:sz w:val="15"/>
                <w:szCs w:val="15"/>
              </w:rPr>
              <w:t xml:space="preserve">◆ J2</w:t>
            </w: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b/>
                <w:bCs/>
                <w:color w:val="C55A11"/>
                <w:sz w:val="15"/>
                <w:szCs w:val="15"/>
              </w:rPr>
              <w:t xml:space="preserve">◆ J3</w:t>
            </w: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b/>
                <w:bCs/>
                <w:color w:val="C55A11"/>
                <w:sz w:val="15"/>
                <w:szCs w:val="15"/>
              </w:rPr>
              <w:t xml:space="preserve">◆ J4</w:t>
            </w: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b/>
                <w:bCs/>
                <w:color w:val="C55A11"/>
                <w:sz w:val="15"/>
                <w:szCs w:val="15"/>
              </w:rPr>
              <w:t xml:space="preserve">◆ J5</w:t>
            </w: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p>
        </w:tc>
        <w:tc>
          <w:tcPr>
            <w:tcW w:type="dxa" w:w="545"/>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b/>
                <w:bCs/>
                <w:color w:val="C55A11"/>
                <w:sz w:val="15"/>
                <w:szCs w:val="15"/>
              </w:rPr>
              <w:t xml:space="preserve">◆ J6</w:t>
            </w:r>
          </w:p>
        </w:tc>
      </w:tr>
    </w:tbl>
    <w:p>
      <w:pPr>
        <w:spacing w:after="200" w:before="80"/>
        <w:jc w:val="center"/>
      </w:pPr>
      <w:r>
        <w:rPr>
          <w:i/>
          <w:iCs/>
          <w:color w:val="595959"/>
          <w:sz w:val="18"/>
          <w:szCs w:val="18"/>
        </w:rPr>
        <w:t xml:space="preserve">Tableau 16 – Planning du projet (diagramme de Gantt)</w:t>
      </w:r>
    </w:p>
    <w:p>
      <w:pPr>
        <w:spacing w:after="120" w:before="0"/>
        <w:jc w:val="both"/>
      </w:pPr>
      <w:r>
        <w:rPr>
          <w:b/>
          <w:bCs/>
        </w:rPr>
        <w:t xml:space="preserve">Jalons :</w:t>
      </w:r>
      <w:r>
        <w:t xml:space="preserve"> J1, fin décembre 2026 : système d'information sécurisé. J2, fin janvier 2027 : solutions choisies et contrats signés. J3, fin mars 2027 : site en ligne et planning numérique utilisé par tous. J4, fin mai 2027 : facturation automatisée. J5, avant le 1er septembre 2027 : émission des factures électroniques et organisation cible. J6, fin octobre 2027 : bilan du projet.</w:t>
      </w:r>
    </w:p>
    <w:p>
      <w:pPr>
        <w:spacing w:after="120" w:before="0"/>
        <w:jc w:val="both"/>
      </w:pPr>
      <w:r>
        <w:t xml:space="preserve">Si la haute saison tombe pendant l'une de ces phases, le déploiement du module concerné sera décalé : on ne change pas d'outil au moment où l'activité est la plus intense.</w:t>
      </w:r>
    </w:p>
    <w:p>
      <w:pPr>
        <w:pStyle w:val="Heading2"/>
      </w:pPr>
      <w:r>
        <w:t xml:space="preserve">4.4. Les ressources nécessaires</w:t>
      </w:r>
    </w:p>
    <w:p>
      <w:pPr>
        <w:pStyle w:val="Heading3"/>
      </w:pPr>
      <w:r>
        <w:t xml:space="preserve">Ressources humaines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438"/>
      </w:tblGrid>
      <w:tr>
        <w:trPr>
          <w:cantSplit/>
          <w:tblHeader/>
        </w:trPr>
        <w:tc>
          <w:tcPr>
            <w:tcW w:type="dxa" w:w="26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Rôle</w:t>
            </w:r>
          </w:p>
        </w:tc>
        <w:tc>
          <w:tcPr>
            <w:tcW w:type="dxa" w:w="26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Qui</w:t>
            </w:r>
          </w:p>
        </w:tc>
        <w:tc>
          <w:tcPr>
            <w:tcW w:type="dxa" w:w="443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Mission</w:t>
            </w:r>
          </w:p>
        </w:tc>
      </w:tr>
      <w:tr>
        <w:trPr>
          <w:cantSplit/>
        </w:trPr>
        <w:tc>
          <w:tcPr>
            <w:tcW w:type="dxa" w:w="2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Sponsor et décideur</w:t>
            </w:r>
          </w:p>
        </w:tc>
        <w:tc>
          <w:tcPr>
            <w:tcW w:type="dxa" w:w="2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Un co-gérant</w:t>
            </w:r>
          </w:p>
        </w:tc>
        <w:tc>
          <w:tcPr>
            <w:tcW w:type="dxa" w:w="44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Valide les choix, arbitre, porte le projet auprès des salariés</w:t>
            </w:r>
          </w:p>
        </w:tc>
      </w:tr>
      <w:tr>
        <w:trPr>
          <w:cantSplit/>
        </w:trPr>
        <w:tc>
          <w:tcPr>
            <w:tcW w:type="dxa" w:w="2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Référente métier</w:t>
            </w:r>
          </w:p>
        </w:tc>
        <w:tc>
          <w:tcPr>
            <w:tcW w:type="dxa" w:w="2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Une assistante de direction</w:t>
            </w:r>
          </w:p>
        </w:tc>
        <w:tc>
          <w:tcPr>
            <w:tcW w:type="dxa" w:w="44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Exprime les besoins, teste, devient l'utilisatrice experte du SaaS</w:t>
            </w:r>
          </w:p>
        </w:tc>
      </w:tr>
      <w:tr>
        <w:trPr>
          <w:cantSplit/>
        </w:trPr>
        <w:tc>
          <w:tcPr>
            <w:tcW w:type="dxa" w:w="2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Chauffeurs ambassadeurs</w:t>
            </w:r>
          </w:p>
        </w:tc>
        <w:tc>
          <w:tcPr>
            <w:tcW w:type="dxa" w:w="2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Deux chauffeurs volontaires</w:t>
            </w:r>
          </w:p>
        </w:tc>
        <w:tc>
          <w:tcPr>
            <w:tcW w:type="dxa" w:w="44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Testent l'application mobile et accompagnent leurs collègues</w:t>
            </w:r>
          </w:p>
        </w:tc>
      </w:tr>
      <w:tr>
        <w:trPr>
          <w:cantSplit/>
        </w:trPr>
        <w:tc>
          <w:tcPr>
            <w:tcW w:type="dxa" w:w="2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Équipe projet</w:t>
            </w:r>
          </w:p>
        </w:tc>
        <w:tc>
          <w:tcPr>
            <w:tcW w:type="dxa" w:w="2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Notre groupe</w:t>
            </w:r>
          </w:p>
        </w:tc>
        <w:tc>
          <w:tcPr>
            <w:tcW w:type="dxa" w:w="44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Diagnostic, cahier des charges, comparaison des solutions, suivi des indicateurs</w:t>
            </w:r>
          </w:p>
        </w:tc>
      </w:tr>
      <w:tr>
        <w:trPr>
          <w:cantSplit/>
        </w:trPr>
        <w:tc>
          <w:tcPr>
            <w:tcW w:type="dxa" w:w="2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Prestataire web</w:t>
            </w:r>
          </w:p>
        </w:tc>
        <w:tc>
          <w:tcPr>
            <w:tcW w:type="dxa" w:w="2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Agence ou indépendant</w:t>
            </w:r>
          </w:p>
        </w:tc>
        <w:tc>
          <w:tcPr>
            <w:tcW w:type="dxa" w:w="44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Conception et mise en ligne du site</w:t>
            </w:r>
          </w:p>
        </w:tc>
      </w:tr>
      <w:tr>
        <w:trPr>
          <w:cantSplit/>
        </w:trPr>
        <w:tc>
          <w:tcPr>
            <w:tcW w:type="dxa" w:w="2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Éditeur ou intégrateur SaaS</w:t>
            </w:r>
          </w:p>
        </w:tc>
        <w:tc>
          <w:tcPr>
            <w:tcW w:type="dxa" w:w="2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Prestataire retenu</w:t>
            </w:r>
          </w:p>
        </w:tc>
        <w:tc>
          <w:tcPr>
            <w:tcW w:type="dxa" w:w="44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Paramétrage, reprise des données, formation, support</w:t>
            </w:r>
          </w:p>
        </w:tc>
      </w:tr>
      <w:tr>
        <w:trPr>
          <w:cantSplit/>
        </w:trPr>
        <w:tc>
          <w:tcPr>
            <w:tcW w:type="dxa" w:w="2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Expert-comptable</w:t>
            </w:r>
          </w:p>
        </w:tc>
        <w:tc>
          <w:tcPr>
            <w:tcW w:type="dxa" w:w="2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Cabinet actuel</w:t>
            </w:r>
          </w:p>
        </w:tc>
        <w:tc>
          <w:tcPr>
            <w:tcW w:type="dxa" w:w="44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Validation de l'export comptable et de la facture électronique</w:t>
            </w:r>
          </w:p>
        </w:tc>
      </w:tr>
    </w:tbl>
    <w:p>
      <w:pPr>
        <w:spacing w:after="200" w:before="80"/>
        <w:jc w:val="center"/>
      </w:pPr>
      <w:r>
        <w:rPr>
          <w:i/>
          <w:iCs/>
          <w:color w:val="595959"/>
          <w:sz w:val="18"/>
          <w:szCs w:val="18"/>
        </w:rPr>
        <w:t xml:space="preserve">Tableau 17 – Ressources humaines du projet</w:t>
      </w:r>
    </w:p>
    <w:p>
      <w:pPr>
        <w:pStyle w:val="Heading3"/>
      </w:pPr>
      <w:r>
        <w:t xml:space="preserve">Ressources techniques</w:t>
      </w:r>
    </w:p>
    <w:p>
      <w:pPr>
        <w:pStyle w:val="ListParagraph"/>
        <w:numPr>
          <w:ilvl w:val="0"/>
          <w:numId w:val="2"/>
        </w:numPr>
        <w:spacing w:after="60"/>
        <w:jc w:val="both"/>
      </w:pPr>
      <w:r>
        <w:t xml:space="preserve">une connexion internet fiable au bureau et un navigateur à jour sur les postes existants ;</w:t>
      </w:r>
    </w:p>
    <w:p>
      <w:pPr>
        <w:pStyle w:val="ListParagraph"/>
        <w:numPr>
          <w:ilvl w:val="0"/>
          <w:numId w:val="2"/>
        </w:numPr>
        <w:spacing w:after="60"/>
        <w:jc w:val="both"/>
      </w:pPr>
      <w:r>
        <w:t xml:space="preserve">des smartphones pour les chauffeurs : de préférence des smartphones professionnels reconditionnés, plutôt que l'usage imposé du téléphone personnel ;</w:t>
      </w:r>
    </w:p>
    <w:p>
      <w:pPr>
        <w:pStyle w:val="ListParagraph"/>
        <w:numPr>
          <w:ilvl w:val="0"/>
          <w:numId w:val="2"/>
        </w:numPr>
        <w:spacing w:after="60"/>
        <w:jc w:val="both"/>
      </w:pPr>
      <w:r>
        <w:t xml:space="preserve">un nom de domaine et un hébergement pour le site ;</w:t>
      </w:r>
    </w:p>
    <w:p>
      <w:pPr>
        <w:pStyle w:val="ListParagraph"/>
        <w:numPr>
          <w:ilvl w:val="0"/>
          <w:numId w:val="2"/>
        </w:numPr>
        <w:spacing w:after="60"/>
        <w:jc w:val="both"/>
      </w:pPr>
      <w:r>
        <w:t xml:space="preserve">l'abonnement au SaaS et à une plateforme agréée de facturation électronique ;</w:t>
      </w:r>
    </w:p>
    <w:p>
      <w:pPr>
        <w:pStyle w:val="ListParagraph"/>
        <w:numPr>
          <w:ilvl w:val="0"/>
          <w:numId w:val="2"/>
        </w:numPr>
        <w:spacing w:after="60"/>
        <w:jc w:val="both"/>
      </w:pPr>
      <w:r>
        <w:t xml:space="preserve">une solution de sauvegarde (disque réseau au bureau et service cloud).</w:t>
      </w:r>
    </w:p>
    <w:p>
      <w:pPr>
        <w:pStyle w:val="Heading3"/>
      </w:pPr>
      <w:r>
        <w:t xml:space="preserve">Ressources financières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2000"/>
        <w:gridCol w:w="2000"/>
      </w:tblGrid>
      <w:tr>
        <w:trPr>
          <w:cantSplit/>
          <w:tblHeader/>
        </w:trPr>
        <w:tc>
          <w:tcPr>
            <w:tcW w:type="dxa" w:w="563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Poste de dépense</w:t>
            </w:r>
          </w:p>
        </w:tc>
        <w:tc>
          <w:tcPr>
            <w:tcW w:type="dxa" w:w="20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Investissement initial</w:t>
            </w:r>
          </w:p>
        </w:tc>
        <w:tc>
          <w:tcPr>
            <w:tcW w:type="dxa" w:w="20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Coût annuel</w:t>
            </w:r>
          </w:p>
        </w:tc>
      </w:tr>
      <w:tr>
        <w:trPr>
          <w:cantSplit/>
        </w:trPr>
        <w:tc>
          <w:tcPr>
            <w:tcW w:type="dxa" w:w="56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Création du site internet (6 à 8 pages, adapté au mobile, référencement local, formulaire de devis)</w:t>
            </w:r>
          </w:p>
        </w:tc>
        <w:tc>
          <w:tcPr>
            <w:tcW w:type="dxa" w:w="20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sz w:val="19"/>
                <w:szCs w:val="19"/>
              </w:rPr>
              <w:t xml:space="preserve">2 500 €</w:t>
            </w:r>
          </w:p>
        </w:tc>
        <w:tc>
          <w:tcPr>
            <w:tcW w:type="dxa" w:w="20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sz w:val="19"/>
                <w:szCs w:val="19"/>
              </w:rPr>
              <w:t xml:space="preserve">–</w:t>
            </w:r>
          </w:p>
        </w:tc>
      </w:tr>
      <w:tr>
        <w:trPr>
          <w:cantSplit/>
        </w:trPr>
        <w:tc>
          <w:tcPr>
            <w:tcW w:type="dxa" w:w="56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Nom de domaine, hébergement et maintenance du site</w:t>
            </w:r>
          </w:p>
        </w:tc>
        <w:tc>
          <w:tcPr>
            <w:tcW w:type="dxa" w:w="20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center"/>
            </w:pPr>
            <w:r>
              <w:rPr>
                <w:sz w:val="19"/>
                <w:szCs w:val="19"/>
              </w:rPr>
              <w:t xml:space="preserve">–</w:t>
            </w:r>
          </w:p>
        </w:tc>
        <w:tc>
          <w:tcPr>
            <w:tcW w:type="dxa" w:w="20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center"/>
            </w:pPr>
            <w:r>
              <w:rPr>
                <w:sz w:val="19"/>
                <w:szCs w:val="19"/>
              </w:rPr>
              <w:t xml:space="preserve">400 €</w:t>
            </w:r>
          </w:p>
        </w:tc>
      </w:tr>
      <w:tr>
        <w:trPr>
          <w:cantSplit/>
        </w:trPr>
        <w:tc>
          <w:tcPr>
            <w:tcW w:type="dxa" w:w="56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Abonnement SaaS (environ 10 utilisateurs, tous modules)</w:t>
            </w:r>
          </w:p>
        </w:tc>
        <w:tc>
          <w:tcPr>
            <w:tcW w:type="dxa" w:w="20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sz w:val="19"/>
                <w:szCs w:val="19"/>
              </w:rPr>
              <w:t xml:space="preserve">–</w:t>
            </w:r>
          </w:p>
        </w:tc>
        <w:tc>
          <w:tcPr>
            <w:tcW w:type="dxa" w:w="20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sz w:val="19"/>
                <w:szCs w:val="19"/>
              </w:rPr>
              <w:t xml:space="preserve">3 600 €</w:t>
            </w:r>
          </w:p>
        </w:tc>
      </w:tr>
      <w:tr>
        <w:trPr>
          <w:cantSplit/>
        </w:trPr>
        <w:tc>
          <w:tcPr>
            <w:tcW w:type="dxa" w:w="56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Paramétrage, reprise des données, configuration de l'IA de pré-facturation</w:t>
            </w:r>
          </w:p>
        </w:tc>
        <w:tc>
          <w:tcPr>
            <w:tcW w:type="dxa" w:w="20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center"/>
            </w:pPr>
            <w:r>
              <w:rPr>
                <w:sz w:val="19"/>
                <w:szCs w:val="19"/>
              </w:rPr>
              <w:t xml:space="preserve">4 000 €</w:t>
            </w:r>
          </w:p>
        </w:tc>
        <w:tc>
          <w:tcPr>
            <w:tcW w:type="dxa" w:w="20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center"/>
            </w:pPr>
            <w:r>
              <w:rPr>
                <w:sz w:val="19"/>
                <w:szCs w:val="19"/>
              </w:rPr>
              <w:t xml:space="preserve">–</w:t>
            </w:r>
          </w:p>
        </w:tc>
      </w:tr>
      <w:tr>
        <w:trPr>
          <w:cantSplit/>
        </w:trPr>
        <w:tc>
          <w:tcPr>
            <w:tcW w:type="dxa" w:w="56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Plateforme agréée de facturation électronique</w:t>
            </w:r>
          </w:p>
        </w:tc>
        <w:tc>
          <w:tcPr>
            <w:tcW w:type="dxa" w:w="20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sz w:val="19"/>
                <w:szCs w:val="19"/>
              </w:rPr>
              <w:t xml:space="preserve">–</w:t>
            </w:r>
          </w:p>
        </w:tc>
        <w:tc>
          <w:tcPr>
            <w:tcW w:type="dxa" w:w="20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sz w:val="19"/>
                <w:szCs w:val="19"/>
              </w:rPr>
              <w:t xml:space="preserve">300 €</w:t>
            </w:r>
          </w:p>
        </w:tc>
      </w:tr>
      <w:tr>
        <w:trPr>
          <w:cantSplit/>
        </w:trPr>
        <w:tc>
          <w:tcPr>
            <w:tcW w:type="dxa" w:w="56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Messagerie professionnelle sécurisée (6 comptes)</w:t>
            </w:r>
          </w:p>
        </w:tc>
        <w:tc>
          <w:tcPr>
            <w:tcW w:type="dxa" w:w="20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center"/>
            </w:pPr>
            <w:r>
              <w:rPr>
                <w:sz w:val="19"/>
                <w:szCs w:val="19"/>
              </w:rPr>
              <w:t xml:space="preserve">–</w:t>
            </w:r>
          </w:p>
        </w:tc>
        <w:tc>
          <w:tcPr>
            <w:tcW w:type="dxa" w:w="20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center"/>
            </w:pPr>
            <w:r>
              <w:rPr>
                <w:sz w:val="19"/>
                <w:szCs w:val="19"/>
              </w:rPr>
              <w:t xml:space="preserve">600 €</w:t>
            </w:r>
          </w:p>
        </w:tc>
      </w:tr>
      <w:tr>
        <w:trPr>
          <w:cantSplit/>
        </w:trPr>
        <w:tc>
          <w:tcPr>
            <w:tcW w:type="dxa" w:w="56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Sauvegarde (disque réseau et service cloud)</w:t>
            </w:r>
          </w:p>
        </w:tc>
        <w:tc>
          <w:tcPr>
            <w:tcW w:type="dxa" w:w="20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sz w:val="19"/>
                <w:szCs w:val="19"/>
              </w:rPr>
              <w:t xml:space="preserve">400 €</w:t>
            </w:r>
          </w:p>
        </w:tc>
        <w:tc>
          <w:tcPr>
            <w:tcW w:type="dxa" w:w="20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sz w:val="19"/>
                <w:szCs w:val="19"/>
              </w:rPr>
              <w:t xml:space="preserve">150 €</w:t>
            </w:r>
          </w:p>
        </w:tc>
      </w:tr>
      <w:tr>
        <w:trPr>
          <w:cantSplit/>
        </w:trPr>
        <w:tc>
          <w:tcPr>
            <w:tcW w:type="dxa" w:w="56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Smartphones reconditionnés pour les chauffeurs (6 × 180 €)</w:t>
            </w:r>
          </w:p>
        </w:tc>
        <w:tc>
          <w:tcPr>
            <w:tcW w:type="dxa" w:w="20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center"/>
            </w:pPr>
            <w:r>
              <w:rPr>
                <w:sz w:val="19"/>
                <w:szCs w:val="19"/>
              </w:rPr>
              <w:t xml:space="preserve">1 080 €</w:t>
            </w:r>
          </w:p>
        </w:tc>
        <w:tc>
          <w:tcPr>
            <w:tcW w:type="dxa" w:w="20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center"/>
            </w:pPr>
            <w:r>
              <w:rPr>
                <w:sz w:val="19"/>
                <w:szCs w:val="19"/>
              </w:rPr>
              <w:t xml:space="preserve">–</w:t>
            </w:r>
          </w:p>
        </w:tc>
      </w:tr>
      <w:tr>
        <w:trPr>
          <w:cantSplit/>
        </w:trPr>
        <w:tc>
          <w:tcPr>
            <w:tcW w:type="dxa" w:w="56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Formation et accompagnement au changement</w:t>
            </w:r>
          </w:p>
        </w:tc>
        <w:tc>
          <w:tcPr>
            <w:tcW w:type="dxa" w:w="20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sz w:val="19"/>
                <w:szCs w:val="19"/>
              </w:rPr>
              <w:t xml:space="preserve">1 500 €</w:t>
            </w:r>
          </w:p>
        </w:tc>
        <w:tc>
          <w:tcPr>
            <w:tcW w:type="dxa" w:w="20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sz w:val="19"/>
                <w:szCs w:val="19"/>
              </w:rPr>
              <w:t xml:space="preserve">–</w:t>
            </w:r>
          </w:p>
        </w:tc>
      </w:tr>
      <w:tr>
        <w:trPr>
          <w:cantSplit/>
        </w:trPr>
        <w:tc>
          <w:tcPr>
            <w:tcW w:type="dxa" w:w="56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Provision pour imprévus (10 %)</w:t>
            </w:r>
          </w:p>
        </w:tc>
        <w:tc>
          <w:tcPr>
            <w:tcW w:type="dxa" w:w="20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center"/>
            </w:pPr>
            <w:r>
              <w:rPr>
                <w:sz w:val="19"/>
                <w:szCs w:val="19"/>
              </w:rPr>
              <w:t xml:space="preserve">950 €</w:t>
            </w:r>
          </w:p>
        </w:tc>
        <w:tc>
          <w:tcPr>
            <w:tcW w:type="dxa" w:w="20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center"/>
            </w:pPr>
            <w:r>
              <w:rPr>
                <w:sz w:val="19"/>
                <w:szCs w:val="19"/>
              </w:rPr>
              <w:t xml:space="preserve">–</w:t>
            </w:r>
          </w:p>
        </w:tc>
      </w:tr>
      <w:tr>
        <w:trPr>
          <w:cantSplit/>
        </w:trPr>
        <w:tc>
          <w:tcPr>
            <w:tcW w:type="dxa" w:w="5638"/>
            <w:tcBorders>
              <w:top w:val="single" w:color="BFC8D6" w:sz="4"/>
              <w:left w:val="single" w:color="BFC8D6" w:sz="4"/>
              <w:bottom w:val="single" w:color="BFC8D6" w:sz="4"/>
              <w:right w:val="single" w:color="BFC8D6" w:sz="4"/>
            </w:tcBorders>
            <w:shd w:fill="D9E2F3" w:color="auto" w:val="clear"/>
            <w:tcMar>
              <w:top w:type="dxa" w:w="70"/>
              <w:left w:type="dxa" w:w="100"/>
              <w:bottom w:type="dxa" w:w="70"/>
              <w:right w:type="dxa" w:w="100"/>
            </w:tcMar>
            <w:vAlign w:val="center"/>
          </w:tcPr>
          <w:p>
            <w:pPr>
              <w:spacing w:after="40"/>
              <w:jc w:val="left"/>
            </w:pPr>
            <w:r>
              <w:rPr>
                <w:b/>
                <w:bCs/>
                <w:sz w:val="19"/>
                <w:szCs w:val="19"/>
              </w:rPr>
              <w:t xml:space="preserve">Total (HT)</w:t>
            </w:r>
          </w:p>
        </w:tc>
        <w:tc>
          <w:tcPr>
            <w:tcW w:type="dxa" w:w="2000"/>
            <w:tcBorders>
              <w:top w:val="single" w:color="BFC8D6" w:sz="4"/>
              <w:left w:val="single" w:color="BFC8D6" w:sz="4"/>
              <w:bottom w:val="single" w:color="BFC8D6" w:sz="4"/>
              <w:right w:val="single" w:color="BFC8D6" w:sz="4"/>
            </w:tcBorders>
            <w:shd w:fill="D9E2F3" w:color="auto" w:val="clear"/>
            <w:tcMar>
              <w:top w:type="dxa" w:w="70"/>
              <w:left w:type="dxa" w:w="100"/>
              <w:bottom w:type="dxa" w:w="70"/>
              <w:right w:type="dxa" w:w="100"/>
            </w:tcMar>
            <w:vAlign w:val="center"/>
          </w:tcPr>
          <w:p>
            <w:pPr>
              <w:spacing w:after="40"/>
              <w:jc w:val="center"/>
            </w:pPr>
            <w:r>
              <w:rPr>
                <w:b/>
                <w:bCs/>
                <w:sz w:val="19"/>
                <w:szCs w:val="19"/>
              </w:rPr>
              <w:t xml:space="preserve">10 430 €</w:t>
            </w:r>
          </w:p>
        </w:tc>
        <w:tc>
          <w:tcPr>
            <w:tcW w:type="dxa" w:w="2000"/>
            <w:tcBorders>
              <w:top w:val="single" w:color="BFC8D6" w:sz="4"/>
              <w:left w:val="single" w:color="BFC8D6" w:sz="4"/>
              <w:bottom w:val="single" w:color="BFC8D6" w:sz="4"/>
              <w:right w:val="single" w:color="BFC8D6" w:sz="4"/>
            </w:tcBorders>
            <w:shd w:fill="D9E2F3" w:color="auto" w:val="clear"/>
            <w:tcMar>
              <w:top w:type="dxa" w:w="70"/>
              <w:left w:type="dxa" w:w="100"/>
              <w:bottom w:type="dxa" w:w="70"/>
              <w:right w:type="dxa" w:w="100"/>
            </w:tcMar>
            <w:vAlign w:val="center"/>
          </w:tcPr>
          <w:p>
            <w:pPr>
              <w:spacing w:after="40"/>
              <w:jc w:val="center"/>
            </w:pPr>
            <w:r>
              <w:rPr>
                <w:b/>
                <w:bCs/>
                <w:sz w:val="19"/>
                <w:szCs w:val="19"/>
              </w:rPr>
              <w:t xml:space="preserve">5 050 €</w:t>
            </w:r>
          </w:p>
        </w:tc>
      </w:tr>
    </w:tbl>
    <w:p>
      <w:pPr>
        <w:spacing w:after="200" w:before="80"/>
        <w:jc w:val="center"/>
      </w:pPr>
      <w:r>
        <w:rPr>
          <w:i/>
          <w:iCs/>
          <w:color w:val="595959"/>
          <w:sz w:val="18"/>
          <w:szCs w:val="18"/>
        </w:rPr>
        <w:t xml:space="preserve">Tableau 18 – Budget prévisionnel du projet (estimations HT)</w:t>
      </w:r>
    </w:p>
    <w:p>
      <w:pPr>
        <w:spacing w:after="120" w:before="0"/>
        <w:jc w:val="both"/>
      </w:pPr>
      <w:r>
        <w:t xml:space="preserve">Ces montants sont des estimations établies à partir des prix moyens du marché ; ils seront confirmés par des devis lors de la phase 2. Le choix d'un SaaS transforme une grande partie de la dépense en abonnement, ce qui convient à la capacité d'investissement limitée de l'entreprise. Des aides peuvent réduire ce coût : accompagnement France Num, CCI de la Drôme, OPCO Mobilités pour le financement de la formation.</w:t>
      </w:r>
    </w:p>
    <w:p>
      <w:pPr>
        <w:pStyle w:val="Heading2"/>
      </w:pPr>
      <w:r>
        <w:t xml:space="preserve">4.5. Gains attendus et retour sur investissement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4038"/>
      </w:tblGrid>
      <w:tr>
        <w:trPr>
          <w:cantSplit/>
          <w:tblHeader/>
        </w:trPr>
        <w:tc>
          <w:tcPr>
            <w:tcW w:type="dxa" w:w="36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Gain</w:t>
            </w:r>
          </w:p>
        </w:tc>
        <w:tc>
          <w:tcPr>
            <w:tcW w:type="dxa" w:w="20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Estimation annuelle</w:t>
            </w:r>
          </w:p>
        </w:tc>
        <w:tc>
          <w:tcPr>
            <w:tcW w:type="dxa" w:w="403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Hypothèse retenue</w:t>
            </w:r>
          </w:p>
        </w:tc>
      </w:tr>
      <w:tr>
        <w:trPr>
          <w:cantSplit/>
        </w:trPr>
        <w:tc>
          <w:tcPr>
            <w:tcW w:type="dxa" w:w="3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Réorganisation du poste d'assistante (2 postes à 1)</w:t>
            </w:r>
          </w:p>
        </w:tc>
        <w:tc>
          <w:tcPr>
            <w:tcW w:type="dxa" w:w="20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sz w:val="19"/>
                <w:szCs w:val="19"/>
              </w:rPr>
              <w:t xml:space="preserve">≈ 30 000 €</w:t>
            </w:r>
          </w:p>
        </w:tc>
        <w:tc>
          <w:tcPr>
            <w:tcW w:type="dxa" w:w="40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Coût employeur moyen d'un poste d'assistante de direction dans une TPE</w:t>
            </w:r>
          </w:p>
        </w:tc>
      </w:tr>
      <w:tr>
        <w:trPr>
          <w:cantSplit/>
        </w:trPr>
        <w:tc>
          <w:tcPr>
            <w:tcW w:type="dxa" w:w="3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Heures supplémentaires évitées</w:t>
            </w:r>
          </w:p>
        </w:tc>
        <w:tc>
          <w:tcPr>
            <w:tcW w:type="dxa" w:w="20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center"/>
            </w:pPr>
            <w:r>
              <w:rPr>
                <w:sz w:val="19"/>
                <w:szCs w:val="19"/>
              </w:rPr>
              <w:t xml:space="preserve">≈ 2 000 €</w:t>
            </w:r>
          </w:p>
        </w:tc>
        <w:tc>
          <w:tcPr>
            <w:tcW w:type="dxa" w:w="40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Environ 80 heures par an en haute saison</w:t>
            </w:r>
          </w:p>
        </w:tc>
      </w:tr>
      <w:tr>
        <w:trPr>
          <w:cantSplit/>
        </w:trPr>
        <w:tc>
          <w:tcPr>
            <w:tcW w:type="dxa" w:w="3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Papier, impression et affranchissement</w:t>
            </w:r>
          </w:p>
        </w:tc>
        <w:tc>
          <w:tcPr>
            <w:tcW w:type="dxa" w:w="20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sz w:val="19"/>
                <w:szCs w:val="19"/>
              </w:rPr>
              <w:t xml:space="preserve">≈ 800 €</w:t>
            </w:r>
          </w:p>
        </w:tc>
        <w:tc>
          <w:tcPr>
            <w:tcW w:type="dxa" w:w="40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Fin des plannings, relevés et factures papier</w:t>
            </w:r>
          </w:p>
        </w:tc>
      </w:tr>
      <w:tr>
        <w:trPr>
          <w:cantSplit/>
        </w:trPr>
        <w:tc>
          <w:tcPr>
            <w:tcW w:type="dxa" w:w="36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Erreurs d'indexation gazole évitées</w:t>
            </w:r>
          </w:p>
        </w:tc>
        <w:tc>
          <w:tcPr>
            <w:tcW w:type="dxa" w:w="20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center"/>
            </w:pPr>
            <w:r>
              <w:rPr>
                <w:sz w:val="19"/>
                <w:szCs w:val="19"/>
              </w:rPr>
              <w:t xml:space="preserve">Non chiffré</w:t>
            </w:r>
          </w:p>
        </w:tc>
        <w:tc>
          <w:tcPr>
            <w:tcW w:type="dxa" w:w="40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sz w:val="19"/>
                <w:szCs w:val="19"/>
              </w:rPr>
              <w:t xml:space="preserve">Marge récupérée et litiges évités</w:t>
            </w:r>
          </w:p>
        </w:tc>
      </w:tr>
      <w:tr>
        <w:trPr>
          <w:cantSplit/>
        </w:trPr>
        <w:tc>
          <w:tcPr>
            <w:tcW w:type="dxa" w:w="36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Encaissement plus rapide</w:t>
            </w:r>
          </w:p>
        </w:tc>
        <w:tc>
          <w:tcPr>
            <w:tcW w:type="dxa" w:w="20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center"/>
            </w:pPr>
            <w:r>
              <w:rPr>
                <w:sz w:val="19"/>
                <w:szCs w:val="19"/>
              </w:rPr>
              <w:t xml:space="preserve">Gain de trésorerie</w:t>
            </w:r>
          </w:p>
        </w:tc>
        <w:tc>
          <w:tcPr>
            <w:tcW w:type="dxa" w:w="40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sz w:val="19"/>
                <w:szCs w:val="19"/>
              </w:rPr>
              <w:t xml:space="preserve">Réduction des retards de paiement</w:t>
            </w:r>
          </w:p>
        </w:tc>
      </w:tr>
      <w:tr>
        <w:trPr>
          <w:cantSplit/>
        </w:trPr>
        <w:tc>
          <w:tcPr>
            <w:tcW w:type="dxa" w:w="3600"/>
            <w:tcBorders>
              <w:top w:val="single" w:color="BFC8D6" w:sz="4"/>
              <w:left w:val="single" w:color="BFC8D6" w:sz="4"/>
              <w:bottom w:val="single" w:color="BFC8D6" w:sz="4"/>
              <w:right w:val="single" w:color="BFC8D6" w:sz="4"/>
            </w:tcBorders>
            <w:shd w:fill="D9E2F3" w:color="auto" w:val="clear"/>
            <w:tcMar>
              <w:top w:type="dxa" w:w="70"/>
              <w:left w:type="dxa" w:w="100"/>
              <w:bottom w:type="dxa" w:w="70"/>
              <w:right w:type="dxa" w:w="100"/>
            </w:tcMar>
            <w:vAlign w:val="center"/>
          </w:tcPr>
          <w:p>
            <w:pPr>
              <w:spacing w:after="40"/>
              <w:jc w:val="left"/>
            </w:pPr>
            <w:r>
              <w:rPr>
                <w:b/>
                <w:bCs/>
                <w:sz w:val="19"/>
                <w:szCs w:val="19"/>
              </w:rPr>
              <w:t xml:space="preserve">Total des économies chiffrées</w:t>
            </w:r>
          </w:p>
        </w:tc>
        <w:tc>
          <w:tcPr>
            <w:tcW w:type="dxa" w:w="2000"/>
            <w:tcBorders>
              <w:top w:val="single" w:color="BFC8D6" w:sz="4"/>
              <w:left w:val="single" w:color="BFC8D6" w:sz="4"/>
              <w:bottom w:val="single" w:color="BFC8D6" w:sz="4"/>
              <w:right w:val="single" w:color="BFC8D6" w:sz="4"/>
            </w:tcBorders>
            <w:shd w:fill="D9E2F3" w:color="auto" w:val="clear"/>
            <w:tcMar>
              <w:top w:type="dxa" w:w="70"/>
              <w:left w:type="dxa" w:w="100"/>
              <w:bottom w:type="dxa" w:w="70"/>
              <w:right w:type="dxa" w:w="100"/>
            </w:tcMar>
            <w:vAlign w:val="center"/>
          </w:tcPr>
          <w:p>
            <w:pPr>
              <w:spacing w:after="40"/>
              <w:jc w:val="center"/>
            </w:pPr>
            <w:r>
              <w:rPr>
                <w:b/>
                <w:bCs/>
                <w:sz w:val="19"/>
                <w:szCs w:val="19"/>
              </w:rPr>
              <w:t xml:space="preserve">≈ 32 800 €</w:t>
            </w:r>
          </w:p>
        </w:tc>
        <w:tc>
          <w:tcPr>
            <w:tcW w:type="dxa" w:w="4038"/>
            <w:tcBorders>
              <w:top w:val="single" w:color="BFC8D6" w:sz="4"/>
              <w:left w:val="single" w:color="BFC8D6" w:sz="4"/>
              <w:bottom w:val="single" w:color="BFC8D6" w:sz="4"/>
              <w:right w:val="single" w:color="BFC8D6" w:sz="4"/>
            </w:tcBorders>
            <w:shd w:fill="D9E2F3" w:color="auto" w:val="clear"/>
            <w:tcMar>
              <w:top w:type="dxa" w:w="70"/>
              <w:left w:type="dxa" w:w="100"/>
              <w:bottom w:type="dxa" w:w="70"/>
              <w:right w:type="dxa" w:w="100"/>
            </w:tcMar>
            <w:vAlign w:val="center"/>
          </w:tcPr>
          <w:p>
            <w:pPr>
              <w:spacing w:after="40"/>
              <w:jc w:val="left"/>
            </w:pPr>
          </w:p>
        </w:tc>
      </w:tr>
    </w:tbl>
    <w:p>
      <w:pPr>
        <w:spacing w:after="200" w:before="80"/>
        <w:jc w:val="center"/>
      </w:pPr>
      <w:r>
        <w:rPr>
          <w:i/>
          <w:iCs/>
          <w:color w:val="595959"/>
          <w:sz w:val="18"/>
          <w:szCs w:val="18"/>
        </w:rPr>
        <w:t xml:space="preserve">Tableau 19 – Gains annuels estimés</w:t>
      </w:r>
    </w:p>
    <w:p>
      <w:pPr>
        <w:spacing w:after="120" w:before="0"/>
        <w:jc w:val="both"/>
      </w:pPr>
      <w:r>
        <w:t xml:space="preserve">En retenant uniquement les économies chiffrées, le gain net annuel atteint environ </w:t>
      </w:r>
      <w:r>
        <w:rPr>
          <w:b/>
          <w:bCs/>
        </w:rPr>
        <w:t xml:space="preserve">27 750 €</w:t>
      </w:r>
      <w:r>
        <w:t xml:space="preserve"> (32 800 € d'économies moins 5 050 € d'abonnements). L'investissement initial de 10 430 € serait donc remboursé en </w:t>
      </w:r>
      <w:r>
        <w:rPr>
          <w:b/>
          <w:bCs/>
        </w:rPr>
        <w:t xml:space="preserve">moins de six mois</w:t>
      </w:r>
      <w:r>
        <w:t xml:space="preserve"> après la réorganisation du poste. Ce gain représente environ trois fois le dernier résultat net publié.</w:t>
      </w:r>
    </w:p>
    <w:p>
      <w:pPr>
        <w:spacing w:after="120" w:before="0"/>
        <w:jc w:val="both"/>
      </w:pPr>
      <w:r>
        <w:t xml:space="preserve">Ce calcul suppose que le second poste soit libéré. Si l'entreprise choisit de redéployer la seconde assistante vers des missions commerciales ou d'exploitation (voir partie 7), le gain prendra la forme d'un chiffre d'affaires supplémentaire plutôt que d'une économie.</w:t>
      </w:r>
    </w:p>
    <w:p>
      <w:pPr>
        <w:pStyle w:val="Heading2"/>
      </w:pPr>
      <w:r>
        <w:t xml:space="preserve">4.6. Le pilotage du projet</w:t>
      </w:r>
    </w:p>
    <w:p>
      <w:pPr>
        <w:spacing w:after="120" w:before="0"/>
        <w:jc w:val="both"/>
      </w:pPr>
      <w:r>
        <w:t xml:space="preserve">Un comité de pilotage mensuel réunit le co-gérant sponsor, la référente et l'équipe projet. Il suit l'avancement du planning, le budget et les indicateurs des objectifs SMART. Chaque module n'est généralisé qu'après validation de sa phase de test.</w:t>
      </w:r>
    </w:p>
    <w:p>
      <w:pPr>
        <w:pStyle w:val="Heading1"/>
        <w:pageBreakBefore/>
      </w:pPr>
      <w:r>
        <w:t xml:space="preserve">5. Les parties prenantes du projet</w:t>
      </w:r>
    </w:p>
    <w:p>
      <w:pPr>
        <w:pStyle w:val="Heading2"/>
      </w:pPr>
      <w:r>
        <w:t xml:space="preserve">5.1. Identification des parties prenantes</w:t>
      </w:r>
    </w:p>
    <w:p>
      <w:pPr>
        <w:spacing w:after="120" w:before="0"/>
        <w:jc w:val="both"/>
      </w:pPr>
      <w:r>
        <w:t xml:space="preserve">Nous avons identifié les parties prenantes du projet en distinguant les acteurs internes, les partenaires externes directement impliqués et les acteurs institutionnels.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Catégorie</w:t>
            </w:r>
          </w:p>
        </w:tc>
        <w:tc>
          <w:tcPr>
            <w:tcW w:type="dxa" w:w="683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Parties prenantes</w:t>
            </w:r>
          </w:p>
        </w:tc>
      </w:tr>
      <w:tr>
        <w:trPr>
          <w:cantSplit/>
        </w:trPr>
        <w:tc>
          <w:tcPr>
            <w:tcW w:type="dxa" w:w="28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Internes</w:t>
            </w:r>
          </w:p>
        </w:tc>
        <w:tc>
          <w:tcPr>
            <w:tcW w:type="dxa" w:w="68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Co-gérants ; assistantes de direction ; chauffeurs en CDI ; intérimaires</w:t>
            </w:r>
          </w:p>
        </w:tc>
      </w:tr>
      <w:tr>
        <w:trPr>
          <w:cantSplit/>
        </w:trPr>
        <w:tc>
          <w:tcPr>
            <w:tcW w:type="dxa" w:w="28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Externes directes</w:t>
            </w:r>
          </w:p>
        </w:tc>
        <w:tc>
          <w:tcPr>
            <w:tcW w:type="dxa" w:w="68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Clients (chargeurs) ; prospects ; éditeur ou intégrateur du SaaS ; prestataire web ; expert-comptable ; plateforme agréée de facturation électronique ; agences d'intérim ; loueurs de camions</w:t>
            </w:r>
          </w:p>
        </w:tc>
      </w:tr>
      <w:tr>
        <w:trPr>
          <w:cantSplit/>
        </w:trPr>
        <w:tc>
          <w:tcPr>
            <w:tcW w:type="dxa" w:w="28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Externes indirectes et institutionnelles</w:t>
            </w:r>
          </w:p>
        </w:tc>
        <w:tc>
          <w:tcPr>
            <w:tcW w:type="dxa" w:w="68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Administration fiscale (DGFiP) ; CNIL ; banque ; assureur ; organismes d'accompagnement (CCI, France Num, ADEME, OPCO Mobilités) ; concurrents ; candidats au recrutement</w:t>
            </w:r>
          </w:p>
        </w:tc>
      </w:tr>
    </w:tbl>
    <w:p>
      <w:pPr>
        <w:spacing w:after="200" w:before="80"/>
        <w:jc w:val="center"/>
      </w:pPr>
      <w:r>
        <w:rPr>
          <w:i/>
          <w:iCs/>
          <w:color w:val="595959"/>
          <w:sz w:val="18"/>
          <w:szCs w:val="18"/>
        </w:rPr>
        <w:t xml:space="preserve">Tableau 20 – Cartographie des parties prenantes</w:t>
      </w:r>
    </w:p>
    <w:p>
      <w:pPr>
        <w:pStyle w:val="Heading2"/>
      </w:pPr>
      <w:r>
        <w:t xml:space="preserve">5.2. Intérêts, attentes et préoccupations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2500"/>
        <w:gridCol w:w="2638"/>
      </w:tblGrid>
      <w:tr>
        <w:trPr>
          <w:cantSplit/>
          <w:tblHeader/>
        </w:trPr>
        <w:tc>
          <w:tcPr>
            <w:tcW w:type="dxa" w:w="21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Partie prenante</w:t>
            </w:r>
          </w:p>
        </w:tc>
        <w:tc>
          <w:tcPr>
            <w:tcW w:type="dxa" w:w="24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Intérêts</w:t>
            </w:r>
          </w:p>
        </w:tc>
        <w:tc>
          <w:tcPr>
            <w:tcW w:type="dxa" w:w="25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Attentes</w:t>
            </w:r>
          </w:p>
        </w:tc>
        <w:tc>
          <w:tcPr>
            <w:tcW w:type="dxa" w:w="263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Préoccupations</w:t>
            </w:r>
          </w:p>
        </w:tc>
      </w:tr>
      <w:tr>
        <w:trPr>
          <w:cantSplit/>
        </w:trPr>
        <w:tc>
          <w:tcPr>
            <w:tcW w:type="dxa" w:w="21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Co-gérants</w:t>
            </w:r>
          </w:p>
        </w:tc>
        <w:tc>
          <w:tcPr>
            <w:tcW w:type="dxa" w:w="24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Rentabilité, maîtrise des coûts, pérennité</w:t>
            </w:r>
          </w:p>
        </w:tc>
        <w:tc>
          <w:tcPr>
            <w:tcW w:type="dxa" w:w="2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Retour sur investissement rapide, conformité, sécurité</w:t>
            </w:r>
          </w:p>
        </w:tc>
        <w:tc>
          <w:tcPr>
            <w:tcW w:type="dxa" w:w="26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Coût, temps à consacrer, perturbation de l'activité</w:t>
            </w:r>
          </w:p>
        </w:tc>
      </w:tr>
      <w:tr>
        <w:trPr>
          <w:cantSplit/>
        </w:trPr>
        <w:tc>
          <w:tcPr>
            <w:tcW w:type="dxa" w:w="21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Assistantes de direction</w:t>
            </w:r>
          </w:p>
        </w:tc>
        <w:tc>
          <w:tcPr>
            <w:tcW w:type="dxa" w:w="24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Moins de tâches répétitives, moins de stress</w:t>
            </w:r>
          </w:p>
        </w:tc>
        <w:tc>
          <w:tcPr>
            <w:tcW w:type="dxa" w:w="25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Outil fiable, formation, reconnaissance de leur expertise</w:t>
            </w:r>
          </w:p>
        </w:tc>
        <w:tc>
          <w:tcPr>
            <w:tcW w:type="dxa" w:w="26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Crainte pour leur emploi (passage de deux postes à un), perte de repères</w:t>
            </w:r>
          </w:p>
        </w:tc>
      </w:tr>
      <w:tr>
        <w:trPr>
          <w:cantSplit/>
        </w:trPr>
        <w:tc>
          <w:tcPr>
            <w:tcW w:type="dxa" w:w="21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Chauffeurs en CDI</w:t>
            </w:r>
          </w:p>
        </w:tc>
        <w:tc>
          <w:tcPr>
            <w:tcW w:type="dxa" w:w="24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Accès direct au planning, fin des dépôts de documents</w:t>
            </w:r>
          </w:p>
        </w:tc>
        <w:tc>
          <w:tcPr>
            <w:tcW w:type="dxa" w:w="2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Application simple, utilisable en mobilité</w:t>
            </w:r>
          </w:p>
        </w:tc>
        <w:tc>
          <w:tcPr>
            <w:tcW w:type="dxa" w:w="26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Aisance numérique, crainte d'être surveillés, usage du téléphone personnel, notifications hors temps de travail</w:t>
            </w:r>
          </w:p>
        </w:tc>
      </w:tr>
      <w:tr>
        <w:trPr>
          <w:cantSplit/>
        </w:trPr>
        <w:tc>
          <w:tcPr>
            <w:tcW w:type="dxa" w:w="21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Intérimaires</w:t>
            </w:r>
          </w:p>
        </w:tc>
        <w:tc>
          <w:tcPr>
            <w:tcW w:type="dxa" w:w="24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Prise en main immédiate</w:t>
            </w:r>
          </w:p>
        </w:tc>
        <w:tc>
          <w:tcPr>
            <w:tcW w:type="dxa" w:w="25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Accès simple et temporaire</w:t>
            </w:r>
          </w:p>
        </w:tc>
        <w:tc>
          <w:tcPr>
            <w:tcW w:type="dxa" w:w="26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Mission trop courte pour se former</w:t>
            </w:r>
          </w:p>
        </w:tc>
      </w:tr>
      <w:tr>
        <w:trPr>
          <w:cantSplit/>
        </w:trPr>
        <w:tc>
          <w:tcPr>
            <w:tcW w:type="dxa" w:w="21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Clients</w:t>
            </w:r>
          </w:p>
        </w:tc>
        <w:tc>
          <w:tcPr>
            <w:tcW w:type="dxa" w:w="24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Factures justes et rapides, preuve de livraison</w:t>
            </w:r>
          </w:p>
        </w:tc>
        <w:tc>
          <w:tcPr>
            <w:tcW w:type="dxa" w:w="2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Documents en temps réel, indexation transparente, factures électroniques conformes</w:t>
            </w:r>
          </w:p>
        </w:tc>
        <w:tc>
          <w:tcPr>
            <w:tcW w:type="dxa" w:w="26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Relances perçues comme insistantes, changement d'habitudes</w:t>
            </w:r>
          </w:p>
        </w:tc>
      </w:tr>
      <w:tr>
        <w:trPr>
          <w:cantSplit/>
        </w:trPr>
        <w:tc>
          <w:tcPr>
            <w:tcW w:type="dxa" w:w="21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Expert-comptable</w:t>
            </w:r>
          </w:p>
        </w:tc>
        <w:tc>
          <w:tcPr>
            <w:tcW w:type="dxa" w:w="24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Données fiables et exploitables</w:t>
            </w:r>
          </w:p>
        </w:tc>
        <w:tc>
          <w:tcPr>
            <w:tcW w:type="dxa" w:w="25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Export compatible avec son logiciel</w:t>
            </w:r>
          </w:p>
        </w:tc>
        <w:tc>
          <w:tcPr>
            <w:tcW w:type="dxa" w:w="26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Ressaisies, formats incompatibles</w:t>
            </w:r>
          </w:p>
        </w:tc>
      </w:tr>
      <w:tr>
        <w:trPr>
          <w:cantSplit/>
        </w:trPr>
        <w:tc>
          <w:tcPr>
            <w:tcW w:type="dxa" w:w="21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Éditeur SaaS, prestataire web</w:t>
            </w:r>
          </w:p>
        </w:tc>
        <w:tc>
          <w:tcPr>
            <w:tcW w:type="dxa" w:w="24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Contrat durable, référence client</w:t>
            </w:r>
          </w:p>
        </w:tc>
        <w:tc>
          <w:tcPr>
            <w:tcW w:type="dxa" w:w="2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Cahier des charges clair, interlocuteur unique</w:t>
            </w:r>
          </w:p>
        </w:tc>
        <w:tc>
          <w:tcPr>
            <w:tcW w:type="dxa" w:w="26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Évolution des demandes, délais</w:t>
            </w:r>
          </w:p>
        </w:tc>
      </w:tr>
      <w:tr>
        <w:trPr>
          <w:cantSplit/>
        </w:trPr>
        <w:tc>
          <w:tcPr>
            <w:tcW w:type="dxa" w:w="21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DGFiP, CNIL</w:t>
            </w:r>
          </w:p>
        </w:tc>
        <w:tc>
          <w:tcPr>
            <w:tcW w:type="dxa" w:w="24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Respect de la loi</w:t>
            </w:r>
          </w:p>
        </w:tc>
        <w:tc>
          <w:tcPr>
            <w:tcW w:type="dxa" w:w="25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Facture électronique, protection des données</w:t>
            </w:r>
          </w:p>
        </w:tc>
        <w:tc>
          <w:tcPr>
            <w:tcW w:type="dxa" w:w="26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Non-conformité</w:t>
            </w:r>
          </w:p>
        </w:tc>
      </w:tr>
      <w:tr>
        <w:trPr>
          <w:cantSplit/>
        </w:trPr>
        <w:tc>
          <w:tcPr>
            <w:tcW w:type="dxa" w:w="21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Banque, assureur</w:t>
            </w:r>
          </w:p>
        </w:tc>
        <w:tc>
          <w:tcPr>
            <w:tcW w:type="dxa" w:w="24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Solidité financière, maîtrise des risques</w:t>
            </w:r>
          </w:p>
        </w:tc>
        <w:tc>
          <w:tcPr>
            <w:tcW w:type="dxa" w:w="25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Trésorerie saine, cybersécurité</w:t>
            </w:r>
          </w:p>
        </w:tc>
        <w:tc>
          <w:tcPr>
            <w:tcW w:type="dxa" w:w="26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Sinistre cyber</w:t>
            </w:r>
          </w:p>
        </w:tc>
      </w:tr>
      <w:tr>
        <w:trPr>
          <w:cantSplit/>
        </w:trPr>
        <w:tc>
          <w:tcPr>
            <w:tcW w:type="dxa" w:w="21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Agences d'intérim, loueurs</w:t>
            </w:r>
          </w:p>
        </w:tc>
        <w:tc>
          <w:tcPr>
            <w:tcW w:type="dxa" w:w="24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Relation commerciale stable</w:t>
            </w:r>
          </w:p>
        </w:tc>
        <w:tc>
          <w:tcPr>
            <w:tcW w:type="dxa" w:w="25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Demandes anticipées</w:t>
            </w:r>
          </w:p>
        </w:tc>
        <w:tc>
          <w:tcPr>
            <w:tcW w:type="dxa" w:w="26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Peu concernés par l'outil</w:t>
            </w:r>
          </w:p>
        </w:tc>
      </w:tr>
    </w:tbl>
    <w:p>
      <w:pPr>
        <w:spacing w:after="200" w:before="80"/>
        <w:jc w:val="center"/>
      </w:pPr>
      <w:r>
        <w:rPr>
          <w:i/>
          <w:iCs/>
          <w:color w:val="595959"/>
          <w:sz w:val="18"/>
          <w:szCs w:val="18"/>
        </w:rPr>
        <w:t xml:space="preserve">Tableau 21 – Analyse des parties prenantes</w:t>
      </w:r>
    </w:p>
    <w:p>
      <w:pPr>
        <w:pStyle w:val="Heading2"/>
      </w:pPr>
      <w:r>
        <w:t xml:space="preserve">5.3. Matrice pouvoir / intérêt</w:t>
      </w:r>
    </w:p>
    <w:p>
      <w:pPr>
        <w:spacing w:after="120" w:before="0"/>
        <w:jc w:val="both"/>
      </w:pPr>
      <w:r>
        <w:t xml:space="preserve">La matrice de Mendelow classe les parties prenantes selon leur pouvoir d'influence sur le projet et leur intérêt pour celui-ci. Elle détermine la stratégie à adopter avec chacune.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000"/>
        <w:gridCol w:w="4000"/>
      </w:tblGrid>
      <w:tr>
        <w:trPr>
          <w:cantSplit/>
        </w:trPr>
        <w:tc>
          <w:tcPr>
            <w:tcW w:type="dxa" w:w="1638"/>
            <w:tcBorders>
              <w:top w:val="single" w:color="BFC8D6" w:sz="4"/>
              <w:left w:val="single" w:color="BFC8D6" w:sz="4"/>
              <w:bottom w:val="single" w:color="BFC8D6" w:sz="4"/>
              <w:right w:val="single" w:color="BFC8D6" w:sz="4"/>
            </w:tcBorders>
            <w:shd w:fill="FFFFFF" w:color="auto" w:val="clear"/>
            <w:tcMar>
              <w:top w:type="dxa" w:w="70"/>
              <w:left w:type="dxa" w:w="100"/>
              <w:bottom w:type="dxa" w:w="70"/>
              <w:right w:type="dxa" w:w="100"/>
            </w:tcMar>
            <w:vAlign w:val="center"/>
          </w:tcPr>
          <w:p>
            <w:pPr>
              <w:spacing w:after="40"/>
              <w:jc w:val="left"/>
            </w:pPr>
          </w:p>
        </w:tc>
        <w:tc>
          <w:tcPr>
            <w:tcW w:type="dxa" w:w="40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center"/>
            </w:pPr>
            <w:r>
              <w:rPr>
                <w:b/>
                <w:bCs/>
                <w:color w:val="FFFFFF"/>
                <w:sz w:val="19"/>
                <w:szCs w:val="19"/>
              </w:rPr>
              <w:t xml:space="preserve">Intérêt faible</w:t>
            </w:r>
          </w:p>
        </w:tc>
        <w:tc>
          <w:tcPr>
            <w:tcW w:type="dxa" w:w="40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center"/>
            </w:pPr>
            <w:r>
              <w:rPr>
                <w:b/>
                <w:bCs/>
                <w:color w:val="FFFFFF"/>
                <w:sz w:val="19"/>
                <w:szCs w:val="19"/>
              </w:rPr>
              <w:t xml:space="preserve">Intérêt fort</w:t>
            </w:r>
          </w:p>
        </w:tc>
      </w:tr>
      <w:tr>
        <w:trPr>
          <w:cantSplit/>
        </w:trPr>
        <w:tc>
          <w:tcPr>
            <w:tcW w:type="dxa" w:w="163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center"/>
            </w:pPr>
            <w:r>
              <w:rPr>
                <w:b/>
                <w:bCs/>
                <w:color w:val="FFFFFF"/>
                <w:sz w:val="19"/>
                <w:szCs w:val="19"/>
              </w:rPr>
              <w:t xml:space="preserve">Pouvoir fort</w:t>
            </w:r>
          </w:p>
        </w:tc>
        <w:tc>
          <w:tcPr>
            <w:tcW w:type="dxa" w:w="4000"/>
            <w:tcBorders>
              <w:top w:val="single" w:color="BFC8D6" w:sz="4"/>
              <w:left w:val="single" w:color="BFC8D6" w:sz="4"/>
              <w:bottom w:val="single" w:color="BFC8D6" w:sz="4"/>
              <w:right w:val="single" w:color="BFC8D6" w:sz="4"/>
            </w:tcBorders>
            <w:shd w:fill="FCE4B6" w:color="auto" w:val="clear"/>
            <w:tcMar>
              <w:top w:type="dxa" w:w="70"/>
              <w:left w:type="dxa" w:w="100"/>
              <w:bottom w:type="dxa" w:w="70"/>
              <w:right w:type="dxa" w:w="100"/>
            </w:tcMar>
            <w:vAlign w:val="top"/>
          </w:tcPr>
          <w:p>
            <w:pPr>
              <w:spacing w:after="40"/>
              <w:jc w:val="left"/>
            </w:pPr>
            <w:r>
              <w:rPr>
                <w:b/>
                <w:bCs/>
                <w:sz w:val="19"/>
                <w:szCs w:val="19"/>
              </w:rPr>
              <w:t xml:space="preserve">Satisfaire</w:t>
            </w:r>
          </w:p>
          <w:p>
            <w:pPr>
              <w:spacing w:after="40"/>
              <w:jc w:val="left"/>
            </w:pPr>
            <w:r>
              <w:rPr>
                <w:sz w:val="19"/>
                <w:szCs w:val="19"/>
              </w:rPr>
              <w:t xml:space="preserve">Informer de la conformité, sans surcharger</w:t>
            </w:r>
          </w:p>
          <w:p>
            <w:pPr>
              <w:pStyle w:val="ListParagraph"/>
              <w:numPr>
                <w:ilvl w:val="0"/>
                <w:numId w:val="3"/>
              </w:numPr>
              <w:spacing w:after="40"/>
              <w:jc w:val="left"/>
            </w:pPr>
            <w:r>
              <w:rPr>
                <w:sz w:val="19"/>
                <w:szCs w:val="19"/>
              </w:rPr>
              <w:t xml:space="preserve">DGFiP</w:t>
            </w:r>
          </w:p>
          <w:p>
            <w:pPr>
              <w:pStyle w:val="ListParagraph"/>
              <w:numPr>
                <w:ilvl w:val="0"/>
                <w:numId w:val="3"/>
              </w:numPr>
              <w:spacing w:after="40"/>
              <w:jc w:val="left"/>
            </w:pPr>
            <w:r>
              <w:rPr>
                <w:sz w:val="19"/>
                <w:szCs w:val="19"/>
              </w:rPr>
              <w:t xml:space="preserve">CNIL</w:t>
            </w:r>
          </w:p>
          <w:p>
            <w:pPr>
              <w:pStyle w:val="ListParagraph"/>
              <w:numPr>
                <w:ilvl w:val="0"/>
                <w:numId w:val="3"/>
              </w:numPr>
              <w:spacing w:after="40"/>
              <w:jc w:val="left"/>
            </w:pPr>
            <w:r>
              <w:rPr>
                <w:sz w:val="19"/>
                <w:szCs w:val="19"/>
              </w:rPr>
              <w:t xml:space="preserve">Banque</w:t>
            </w:r>
          </w:p>
          <w:p>
            <w:pPr>
              <w:pStyle w:val="ListParagraph"/>
              <w:numPr>
                <w:ilvl w:val="0"/>
                <w:numId w:val="3"/>
              </w:numPr>
              <w:spacing w:after="40"/>
              <w:jc w:val="left"/>
            </w:pPr>
            <w:r>
              <w:rPr>
                <w:sz w:val="19"/>
                <w:szCs w:val="19"/>
              </w:rPr>
              <w:t xml:space="preserve">Assureur</w:t>
            </w:r>
          </w:p>
        </w:tc>
        <w:tc>
          <w:tcPr>
            <w:tcW w:type="dxa" w:w="4000"/>
            <w:tcBorders>
              <w:top w:val="single" w:color="BFC8D6" w:sz="4"/>
              <w:left w:val="single" w:color="BFC8D6" w:sz="4"/>
              <w:bottom w:val="single" w:color="BFC8D6" w:sz="4"/>
              <w:right w:val="single" w:color="BFC8D6" w:sz="4"/>
            </w:tcBorders>
            <w:shd w:fill="F4B6B0" w:color="auto" w:val="clear"/>
            <w:tcMar>
              <w:top w:type="dxa" w:w="70"/>
              <w:left w:type="dxa" w:w="100"/>
              <w:bottom w:type="dxa" w:w="70"/>
              <w:right w:type="dxa" w:w="100"/>
            </w:tcMar>
            <w:vAlign w:val="top"/>
          </w:tcPr>
          <w:p>
            <w:pPr>
              <w:spacing w:after="40"/>
              <w:jc w:val="left"/>
            </w:pPr>
            <w:r>
              <w:rPr>
                <w:b/>
                <w:bCs/>
                <w:sz w:val="19"/>
                <w:szCs w:val="19"/>
              </w:rPr>
              <w:t xml:space="preserve">Gérer étroitement</w:t>
            </w:r>
          </w:p>
          <w:p>
            <w:pPr>
              <w:spacing w:after="40"/>
              <w:jc w:val="left"/>
            </w:pPr>
            <w:r>
              <w:rPr>
                <w:sz w:val="19"/>
                <w:szCs w:val="19"/>
              </w:rPr>
              <w:t xml:space="preserve">Acteurs clés, associés à chaque décision</w:t>
            </w:r>
          </w:p>
          <w:p>
            <w:pPr>
              <w:pStyle w:val="ListParagraph"/>
              <w:numPr>
                <w:ilvl w:val="0"/>
                <w:numId w:val="3"/>
              </w:numPr>
              <w:spacing w:after="40"/>
              <w:jc w:val="left"/>
            </w:pPr>
            <w:r>
              <w:rPr>
                <w:sz w:val="19"/>
                <w:szCs w:val="19"/>
              </w:rPr>
              <w:t xml:space="preserve">Co-gérants</w:t>
            </w:r>
          </w:p>
          <w:p>
            <w:pPr>
              <w:pStyle w:val="ListParagraph"/>
              <w:numPr>
                <w:ilvl w:val="0"/>
                <w:numId w:val="3"/>
              </w:numPr>
              <w:spacing w:after="40"/>
              <w:jc w:val="left"/>
            </w:pPr>
            <w:r>
              <w:rPr>
                <w:sz w:val="19"/>
                <w:szCs w:val="19"/>
              </w:rPr>
              <w:t xml:space="preserve">Clients principaux</w:t>
            </w:r>
          </w:p>
          <w:p>
            <w:pPr>
              <w:pStyle w:val="ListParagraph"/>
              <w:numPr>
                <w:ilvl w:val="0"/>
                <w:numId w:val="3"/>
              </w:numPr>
              <w:spacing w:after="40"/>
              <w:jc w:val="left"/>
            </w:pPr>
            <w:r>
              <w:rPr>
                <w:sz w:val="19"/>
                <w:szCs w:val="19"/>
              </w:rPr>
              <w:t xml:space="preserve">Éditeur du SaaS</w:t>
            </w:r>
          </w:p>
        </w:tc>
      </w:tr>
      <w:tr>
        <w:trPr>
          <w:cantSplit/>
        </w:trPr>
        <w:tc>
          <w:tcPr>
            <w:tcW w:type="dxa" w:w="163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center"/>
            </w:pPr>
            <w:r>
              <w:rPr>
                <w:b/>
                <w:bCs/>
                <w:color w:val="FFFFFF"/>
                <w:sz w:val="19"/>
                <w:szCs w:val="19"/>
              </w:rPr>
              <w:t xml:space="preserve">Pouvoir faible</w:t>
            </w:r>
          </w:p>
        </w:tc>
        <w:tc>
          <w:tcPr>
            <w:tcW w:type="dxa" w:w="4000"/>
            <w:tcBorders>
              <w:top w:val="single" w:color="BFC8D6" w:sz="4"/>
              <w:left w:val="single" w:color="BFC8D6" w:sz="4"/>
              <w:bottom w:val="single" w:color="BFC8D6" w:sz="4"/>
              <w:right w:val="single" w:color="BFC8D6" w:sz="4"/>
            </w:tcBorders>
            <w:shd w:fill="EDEDED" w:color="auto" w:val="clear"/>
            <w:tcMar>
              <w:top w:type="dxa" w:w="70"/>
              <w:left w:type="dxa" w:w="100"/>
              <w:bottom w:type="dxa" w:w="70"/>
              <w:right w:type="dxa" w:w="100"/>
            </w:tcMar>
            <w:vAlign w:val="top"/>
          </w:tcPr>
          <w:p>
            <w:pPr>
              <w:spacing w:after="40"/>
              <w:jc w:val="left"/>
            </w:pPr>
            <w:r>
              <w:rPr>
                <w:b/>
                <w:bCs/>
                <w:sz w:val="19"/>
                <w:szCs w:val="19"/>
              </w:rPr>
              <w:t xml:space="preserve">Surveiller</w:t>
            </w:r>
          </w:p>
          <w:p>
            <w:pPr>
              <w:spacing w:after="40"/>
              <w:jc w:val="left"/>
            </w:pPr>
            <w:r>
              <w:rPr>
                <w:sz w:val="19"/>
                <w:szCs w:val="19"/>
              </w:rPr>
              <w:t xml:space="preserve">Information ponctuelle</w:t>
            </w:r>
          </w:p>
          <w:p>
            <w:pPr>
              <w:pStyle w:val="ListParagraph"/>
              <w:numPr>
                <w:ilvl w:val="0"/>
                <w:numId w:val="3"/>
              </w:numPr>
              <w:spacing w:after="40"/>
              <w:jc w:val="left"/>
            </w:pPr>
            <w:r>
              <w:rPr>
                <w:sz w:val="19"/>
                <w:szCs w:val="19"/>
              </w:rPr>
              <w:t xml:space="preserve">Agences d'intérim</w:t>
            </w:r>
          </w:p>
          <w:p>
            <w:pPr>
              <w:pStyle w:val="ListParagraph"/>
              <w:numPr>
                <w:ilvl w:val="0"/>
                <w:numId w:val="3"/>
              </w:numPr>
              <w:spacing w:after="40"/>
              <w:jc w:val="left"/>
            </w:pPr>
            <w:r>
              <w:rPr>
                <w:sz w:val="19"/>
                <w:szCs w:val="19"/>
              </w:rPr>
              <w:t xml:space="preserve">Loueurs de camions</w:t>
            </w:r>
          </w:p>
          <w:p>
            <w:pPr>
              <w:pStyle w:val="ListParagraph"/>
              <w:numPr>
                <w:ilvl w:val="0"/>
                <w:numId w:val="3"/>
              </w:numPr>
              <w:spacing w:after="40"/>
              <w:jc w:val="left"/>
            </w:pPr>
            <w:r>
              <w:rPr>
                <w:sz w:val="19"/>
                <w:szCs w:val="19"/>
              </w:rPr>
              <w:t xml:space="preserve">Concurrents</w:t>
            </w:r>
          </w:p>
        </w:tc>
        <w:tc>
          <w:tcPr>
            <w:tcW w:type="dxa" w:w="4000"/>
            <w:tcBorders>
              <w:top w:val="single" w:color="BFC8D6" w:sz="4"/>
              <w:left w:val="single" w:color="BFC8D6" w:sz="4"/>
              <w:bottom w:val="single" w:color="BFC8D6" w:sz="4"/>
              <w:right w:val="single" w:color="BFC8D6" w:sz="4"/>
            </w:tcBorders>
            <w:shd w:fill="DEEBF7" w:color="auto" w:val="clear"/>
            <w:tcMar>
              <w:top w:type="dxa" w:w="70"/>
              <w:left w:type="dxa" w:w="100"/>
              <w:bottom w:type="dxa" w:w="70"/>
              <w:right w:type="dxa" w:w="100"/>
            </w:tcMar>
            <w:vAlign w:val="top"/>
          </w:tcPr>
          <w:p>
            <w:pPr>
              <w:spacing w:after="40"/>
              <w:jc w:val="left"/>
            </w:pPr>
            <w:r>
              <w:rPr>
                <w:b/>
                <w:bCs/>
                <w:sz w:val="19"/>
                <w:szCs w:val="19"/>
              </w:rPr>
              <w:t xml:space="preserve">Informer et impliquer</w:t>
            </w:r>
          </w:p>
          <w:p>
            <w:pPr>
              <w:spacing w:after="40"/>
              <w:jc w:val="left"/>
            </w:pPr>
            <w:r>
              <w:rPr>
                <w:sz w:val="19"/>
                <w:szCs w:val="19"/>
              </w:rPr>
              <w:t xml:space="preserve">Communication régulière, participation</w:t>
            </w:r>
          </w:p>
          <w:p>
            <w:pPr>
              <w:pStyle w:val="ListParagraph"/>
              <w:numPr>
                <w:ilvl w:val="0"/>
                <w:numId w:val="3"/>
              </w:numPr>
              <w:spacing w:after="40"/>
              <w:jc w:val="left"/>
            </w:pPr>
            <w:r>
              <w:rPr>
                <w:sz w:val="19"/>
                <w:szCs w:val="19"/>
              </w:rPr>
              <w:t xml:space="preserve">Assistantes de direction</w:t>
            </w:r>
          </w:p>
          <w:p>
            <w:pPr>
              <w:pStyle w:val="ListParagraph"/>
              <w:numPr>
                <w:ilvl w:val="0"/>
                <w:numId w:val="3"/>
              </w:numPr>
              <w:spacing w:after="40"/>
              <w:jc w:val="left"/>
            </w:pPr>
            <w:r>
              <w:rPr>
                <w:sz w:val="19"/>
                <w:szCs w:val="19"/>
              </w:rPr>
              <w:t xml:space="preserve">Chauffeurs</w:t>
            </w:r>
          </w:p>
          <w:p>
            <w:pPr>
              <w:pStyle w:val="ListParagraph"/>
              <w:numPr>
                <w:ilvl w:val="0"/>
                <w:numId w:val="3"/>
              </w:numPr>
              <w:spacing w:after="40"/>
              <w:jc w:val="left"/>
            </w:pPr>
            <w:r>
              <w:rPr>
                <w:sz w:val="19"/>
                <w:szCs w:val="19"/>
              </w:rPr>
              <w:t xml:space="preserve">Intérimaires</w:t>
            </w:r>
          </w:p>
          <w:p>
            <w:pPr>
              <w:pStyle w:val="ListParagraph"/>
              <w:numPr>
                <w:ilvl w:val="0"/>
                <w:numId w:val="3"/>
              </w:numPr>
              <w:spacing w:after="40"/>
              <w:jc w:val="left"/>
            </w:pPr>
            <w:r>
              <w:rPr>
                <w:sz w:val="19"/>
                <w:szCs w:val="19"/>
              </w:rPr>
              <w:t xml:space="preserve">Expert-comptable</w:t>
            </w:r>
          </w:p>
        </w:tc>
      </w:tr>
    </w:tbl>
    <w:p>
      <w:pPr>
        <w:spacing w:after="200" w:before="80"/>
        <w:jc w:val="center"/>
      </w:pPr>
      <w:r>
        <w:rPr>
          <w:i/>
          <w:iCs/>
          <w:color w:val="595959"/>
          <w:sz w:val="18"/>
          <w:szCs w:val="18"/>
        </w:rPr>
        <w:t xml:space="preserve">Tableau 22 – Matrice pouvoir / intérêt (Mendelow)</w:t>
      </w:r>
    </w:p>
    <w:p>
      <w:pPr>
        <w:spacing w:after="120" w:before="0"/>
        <w:jc w:val="both"/>
      </w:pPr>
      <w:r>
        <w:t xml:space="preserve">Les assistantes de direction ont un pouvoir formel limité mais un </w:t>
      </w:r>
      <w:r>
        <w:rPr>
          <w:b/>
          <w:bCs/>
        </w:rPr>
        <w:t xml:space="preserve">pouvoir informel déterminant</w:t>
      </w:r>
      <w:r>
        <w:t xml:space="preserve"> : elles détiennent la connaissance du processus, et leur adhésion conditionne la réussite du projet. Nous les traitons donc comme des acteurs clés.</w:t>
      </w:r>
    </w:p>
    <w:p>
      <w:pPr>
        <w:pStyle w:val="Heading1"/>
        <w:pageBreakBefore/>
      </w:pPr>
      <w:r>
        <w:t xml:space="preserve">6. Stratégies de communication et d'engagement</w:t>
      </w:r>
    </w:p>
    <w:p>
      <w:pPr>
        <w:spacing w:after="120" w:before="0"/>
        <w:jc w:val="both"/>
      </w:pPr>
      <w:r>
        <w:t xml:space="preserve">Notre stratégie repose sur trois principes : la </w:t>
      </w:r>
      <w:r>
        <w:rPr>
          <w:b/>
          <w:bCs/>
        </w:rPr>
        <w:t xml:space="preserve">transparence</w:t>
      </w:r>
      <w:r>
        <w:t xml:space="preserve"> (dire clairement ce qui change et pourquoi), la </w:t>
      </w:r>
      <w:r>
        <w:rPr>
          <w:b/>
          <w:bCs/>
        </w:rPr>
        <w:t xml:space="preserve">co-construction</w:t>
      </w:r>
      <w:r>
        <w:t xml:space="preserve"> (associer les utilisateurs aux choix) et la </w:t>
      </w:r>
      <w:r>
        <w:rPr>
          <w:b/>
          <w:bCs/>
        </w:rPr>
        <w:t xml:space="preserve">progressivité</w:t>
      </w:r>
      <w:r>
        <w:t xml:space="preserve"> (déployer module par module). Elle s'appuie sur les nouveaux modèles de l'économie numérique présentés en partie 1.</w:t>
      </w:r>
    </w:p>
    <w:p>
      <w:pPr>
        <w:pStyle w:val="Heading2"/>
      </w:pPr>
      <w:r>
        <w:t xml:space="preserve">6.1. Les leviers de l'économie numérique mobilisés</w:t>
      </w:r>
    </w:p>
    <w:p>
      <w:pPr>
        <w:pStyle w:val="ListParagraph"/>
        <w:numPr>
          <w:ilvl w:val="0"/>
          <w:numId w:val="2"/>
        </w:numPr>
        <w:spacing w:after="60"/>
        <w:jc w:val="both"/>
      </w:pPr>
      <w:r>
        <w:rPr>
          <w:b/>
          <w:bCs/>
        </w:rPr>
        <w:t xml:space="preserve">Le modèle SaaS et l'économie de la fonctionnalité</w:t>
      </w:r>
      <w:r>
        <w:t xml:space="preserve"> : BV2G paie l'usage d'un service plutôt que l'achat d'un logiciel. Ce message rassure les gérants : pas d'investissement lourd, un abonnement ajustable et un outil toujours à jour.</w:t>
      </w:r>
    </w:p>
    <w:p>
      <w:pPr>
        <w:pStyle w:val="ListParagraph"/>
        <w:numPr>
          <w:ilvl w:val="0"/>
          <w:numId w:val="2"/>
        </w:numPr>
        <w:spacing w:after="60"/>
        <w:jc w:val="both"/>
      </w:pPr>
      <w:r>
        <w:rPr>
          <w:b/>
          <w:bCs/>
        </w:rPr>
        <w:t xml:space="preserve">Le libre-service</w:t>
      </w:r>
      <w:r>
        <w:t xml:space="preserve"> : les chauffeurs consultent eux-mêmes leur planning, les clients téléchargent eux-mêmes leurs factures et leurs lettres de voiture. L'information est disponible sans intermédiaire.</w:t>
      </w:r>
    </w:p>
    <w:p>
      <w:pPr>
        <w:pStyle w:val="ListParagraph"/>
        <w:numPr>
          <w:ilvl w:val="0"/>
          <w:numId w:val="2"/>
        </w:numPr>
        <w:spacing w:after="60"/>
        <w:jc w:val="both"/>
      </w:pPr>
      <w:r>
        <w:rPr>
          <w:b/>
          <w:bCs/>
        </w:rPr>
        <w:t xml:space="preserve">Les plateformes et l'effet de réseau</w:t>
      </w:r>
      <w:r>
        <w:t xml:space="preserve"> : le site internet, la fiche d'établissement Google et une page LinkedIn rendent l'entreprise visible ; les bourses de fret permettent de trouver des chargements pour limiter les retours à vide.</w:t>
      </w:r>
    </w:p>
    <w:p>
      <w:pPr>
        <w:pStyle w:val="ListParagraph"/>
        <w:numPr>
          <w:ilvl w:val="0"/>
          <w:numId w:val="2"/>
        </w:numPr>
        <w:spacing w:after="60"/>
        <w:jc w:val="both"/>
      </w:pPr>
      <w:r>
        <w:rPr>
          <w:b/>
          <w:bCs/>
        </w:rPr>
        <w:t xml:space="preserve">La réputation numérique</w:t>
      </w:r>
      <w:r>
        <w:t xml:space="preserve"> : avis clients, contenus montrant la flotte et les engagements RSE, témoignages de chauffeurs pour le recrutement.</w:t>
      </w:r>
    </w:p>
    <w:p>
      <w:pPr>
        <w:pStyle w:val="ListParagraph"/>
        <w:numPr>
          <w:ilvl w:val="0"/>
          <w:numId w:val="2"/>
        </w:numPr>
        <w:spacing w:after="60"/>
        <w:jc w:val="both"/>
      </w:pPr>
      <w:r>
        <w:rPr>
          <w:b/>
          <w:bCs/>
        </w:rPr>
        <w:t xml:space="preserve">La donnée partagée</w:t>
      </w:r>
      <w:r>
        <w:t xml:space="preserve"> : un tableau de bord commun montre à tous les effets du projet (temps gagné, factures payées, papier économisé), ce qui entretient l'engagement.</w:t>
      </w:r>
    </w:p>
    <w:p>
      <w:pPr>
        <w:pStyle w:val="ListParagraph"/>
        <w:numPr>
          <w:ilvl w:val="0"/>
          <w:numId w:val="2"/>
        </w:numPr>
        <w:spacing w:after="60"/>
        <w:jc w:val="both"/>
      </w:pPr>
      <w:r>
        <w:rPr>
          <w:b/>
          <w:bCs/>
        </w:rPr>
        <w:t xml:space="preserve">Les formats courts et mobiles</w:t>
      </w:r>
      <w:r>
        <w:t xml:space="preserve"> : tutoriels vidéo d'une à deux minutes, guide de démarrage accessible par QR code, groupe de messagerie d'équipe.</w:t>
      </w:r>
    </w:p>
    <w:p>
      <w:pPr>
        <w:pStyle w:val="Heading2"/>
      </w:pPr>
      <w:r>
        <w:t xml:space="preserve">6.2. Plan de communication par partie prenante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200"/>
        <w:gridCol w:w="2138"/>
        <w:gridCol w:w="1900"/>
      </w:tblGrid>
      <w:tr>
        <w:trPr>
          <w:cantSplit/>
          <w:tblHeader/>
        </w:trPr>
        <w:tc>
          <w:tcPr>
            <w:tcW w:type="dxa" w:w="17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Partie prenante</w:t>
            </w:r>
          </w:p>
        </w:tc>
        <w:tc>
          <w:tcPr>
            <w:tcW w:type="dxa" w:w="17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Objectif</w:t>
            </w:r>
          </w:p>
        </w:tc>
        <w:tc>
          <w:tcPr>
            <w:tcW w:type="dxa" w:w="22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Messages clés</w:t>
            </w:r>
          </w:p>
        </w:tc>
        <w:tc>
          <w:tcPr>
            <w:tcW w:type="dxa" w:w="213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Canaux et actions</w:t>
            </w:r>
          </w:p>
        </w:tc>
        <w:tc>
          <w:tcPr>
            <w:tcW w:type="dxa" w:w="19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Engagement</w:t>
            </w:r>
          </w:p>
        </w:tc>
      </w:tr>
      <w:tr>
        <w:trPr>
          <w:cantSplit/>
        </w:trPr>
        <w:tc>
          <w:tcPr>
            <w:tcW w:type="dxa" w:w="1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Co-gérants</w:t>
            </w:r>
          </w:p>
        </w:tc>
        <w:tc>
          <w:tcPr>
            <w:tcW w:type="dxa" w:w="1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Obtenir et maintenir leur soutien</w:t>
            </w:r>
          </w:p>
        </w:tc>
        <w:tc>
          <w:tcPr>
            <w:tcW w:type="dxa" w:w="22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Retour sur investissement, conformité, sécurité</w:t>
            </w:r>
          </w:p>
        </w:tc>
        <w:tc>
          <w:tcPr>
            <w:tcW w:type="dxa" w:w="21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Comité de pilotage mensuel, tableau de bord du projet</w:t>
            </w:r>
          </w:p>
        </w:tc>
        <w:tc>
          <w:tcPr>
            <w:tcW w:type="dxa" w:w="1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Sponsor officiel qui annonce le projet aux équipes</w:t>
            </w:r>
          </w:p>
        </w:tc>
      </w:tr>
      <w:tr>
        <w:trPr>
          <w:cantSplit/>
        </w:trPr>
        <w:tc>
          <w:tcPr>
            <w:tcW w:type="dxa" w:w="17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Assistantes de direction</w:t>
            </w:r>
          </w:p>
        </w:tc>
        <w:tc>
          <w:tcPr>
            <w:tcW w:type="dxa" w:w="17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Rassurer, impliquer, valoriser</w:t>
            </w:r>
          </w:p>
        </w:tc>
        <w:tc>
          <w:tcPr>
            <w:tcW w:type="dxa" w:w="22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 Le SaaS supprime des tâches, pas des compétences » ; nouvelles missions à plus forte valeur ajoutée</w:t>
            </w:r>
          </w:p>
        </w:tc>
        <w:tc>
          <w:tcPr>
            <w:tcW w:type="dxa" w:w="21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Entretiens individuels, ateliers de co-construction, formation prioritaire</w:t>
            </w:r>
          </w:p>
        </w:tc>
        <w:tc>
          <w:tcPr>
            <w:tcW w:type="dxa" w:w="1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Participation au choix de l'outil, rôle de référente, parcours d'évolution</w:t>
            </w:r>
          </w:p>
        </w:tc>
      </w:tr>
      <w:tr>
        <w:trPr>
          <w:cantSplit/>
        </w:trPr>
        <w:tc>
          <w:tcPr>
            <w:tcW w:type="dxa" w:w="1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Chauffeurs</w:t>
            </w:r>
          </w:p>
        </w:tc>
        <w:tc>
          <w:tcPr>
            <w:tcW w:type="dxa" w:w="1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Faire adopter l'application</w:t>
            </w:r>
          </w:p>
        </w:tc>
        <w:tc>
          <w:tcPr>
            <w:tcW w:type="dxa" w:w="22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 Votre planning dans votre poche, fini les dépôts de lettres au local »</w:t>
            </w:r>
          </w:p>
        </w:tc>
        <w:tc>
          <w:tcPr>
            <w:tcW w:type="dxa" w:w="21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Réunion à l'entrepôt avec démonstration, tutoriels vidéo, groupe de messagerie</w:t>
            </w:r>
          </w:p>
        </w:tc>
        <w:tc>
          <w:tcPr>
            <w:tcW w:type="dxa" w:w="1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Test pilote avec deux ambassadeurs ; charte d'usage (déconnexion, vie privée)</w:t>
            </w:r>
          </w:p>
        </w:tc>
      </w:tr>
      <w:tr>
        <w:trPr>
          <w:cantSplit/>
        </w:trPr>
        <w:tc>
          <w:tcPr>
            <w:tcW w:type="dxa" w:w="17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Intérimaires</w:t>
            </w:r>
          </w:p>
        </w:tc>
        <w:tc>
          <w:tcPr>
            <w:tcW w:type="dxa" w:w="17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Permettre une prise en main immédiate</w:t>
            </w:r>
          </w:p>
        </w:tc>
        <w:tc>
          <w:tcPr>
            <w:tcW w:type="dxa" w:w="22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 Tout est dans l'application »</w:t>
            </w:r>
          </w:p>
        </w:tc>
        <w:tc>
          <w:tcPr>
            <w:tcW w:type="dxa" w:w="21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Guide de démarrage par QR code, vidéo d'accueil</w:t>
            </w:r>
          </w:p>
        </w:tc>
        <w:tc>
          <w:tcPr>
            <w:tcW w:type="dxa" w:w="1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Accueil par un chauffeur ambassadeur</w:t>
            </w:r>
          </w:p>
        </w:tc>
      </w:tr>
      <w:tr>
        <w:trPr>
          <w:cantSplit/>
        </w:trPr>
        <w:tc>
          <w:tcPr>
            <w:tcW w:type="dxa" w:w="1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Clients</w:t>
            </w:r>
          </w:p>
        </w:tc>
        <w:tc>
          <w:tcPr>
            <w:tcW w:type="dxa" w:w="1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Informer et valoriser le changement</w:t>
            </w:r>
          </w:p>
        </w:tc>
        <w:tc>
          <w:tcPr>
            <w:tcW w:type="dxa" w:w="22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Factures plus rapides, plus claires et conformes ; preuve de livraison en temps réel</w:t>
            </w:r>
          </w:p>
        </w:tc>
        <w:tc>
          <w:tcPr>
            <w:tcW w:type="dxa" w:w="21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E-mail personnalisé, page dédiée sur le site, espace client</w:t>
            </w:r>
          </w:p>
        </w:tc>
        <w:tc>
          <w:tcPr>
            <w:tcW w:type="dxa" w:w="1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Enquête de satisfaction ; relances courtoises et personnalisées</w:t>
            </w:r>
          </w:p>
        </w:tc>
      </w:tr>
      <w:tr>
        <w:trPr>
          <w:cantSplit/>
        </w:trPr>
        <w:tc>
          <w:tcPr>
            <w:tcW w:type="dxa" w:w="17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Prospects et candidats</w:t>
            </w:r>
          </w:p>
        </w:tc>
        <w:tc>
          <w:tcPr>
            <w:tcW w:type="dxa" w:w="17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Attirer clients et chauffeurs</w:t>
            </w:r>
          </w:p>
        </w:tc>
        <w:tc>
          <w:tcPr>
            <w:tcW w:type="dxa" w:w="22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Fiabilité, réactivité, engagement RSE</w:t>
            </w:r>
          </w:p>
        </w:tc>
        <w:tc>
          <w:tcPr>
            <w:tcW w:type="dxa" w:w="21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Site, référencement local, fiche Google, LinkedIn</w:t>
            </w:r>
          </w:p>
        </w:tc>
        <w:tc>
          <w:tcPr>
            <w:tcW w:type="dxa" w:w="1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Formulaire de devis, page recrutement</w:t>
            </w:r>
          </w:p>
        </w:tc>
      </w:tr>
      <w:tr>
        <w:trPr>
          <w:cantSplit/>
        </w:trPr>
        <w:tc>
          <w:tcPr>
            <w:tcW w:type="dxa" w:w="1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Expert-comptable</w:t>
            </w:r>
          </w:p>
        </w:tc>
        <w:tc>
          <w:tcPr>
            <w:tcW w:type="dxa" w:w="1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Garantir la continuité comptable</w:t>
            </w:r>
          </w:p>
        </w:tc>
        <w:tc>
          <w:tcPr>
            <w:tcW w:type="dxa" w:w="22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Données plus fiables, fin des ressaisies</w:t>
            </w:r>
          </w:p>
        </w:tc>
        <w:tc>
          <w:tcPr>
            <w:tcW w:type="dxa" w:w="21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Réunion technique, test de l'export</w:t>
            </w:r>
          </w:p>
        </w:tc>
        <w:tc>
          <w:tcPr>
            <w:tcW w:type="dxa" w:w="1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Validation de l'export avant généralisation</w:t>
            </w:r>
          </w:p>
        </w:tc>
      </w:tr>
      <w:tr>
        <w:trPr>
          <w:cantSplit/>
        </w:trPr>
        <w:tc>
          <w:tcPr>
            <w:tcW w:type="dxa" w:w="17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Éditeur SaaS, prestataire web</w:t>
            </w:r>
          </w:p>
        </w:tc>
        <w:tc>
          <w:tcPr>
            <w:tcW w:type="dxa" w:w="17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Piloter la prestation</w:t>
            </w:r>
          </w:p>
        </w:tc>
        <w:tc>
          <w:tcPr>
            <w:tcW w:type="dxa" w:w="22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Besoins précis, calendrier, exigences de sécurité</w:t>
            </w:r>
          </w:p>
        </w:tc>
        <w:tc>
          <w:tcPr>
            <w:tcW w:type="dxa" w:w="21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Cahier des charges, contrat, points d'avancement</w:t>
            </w:r>
          </w:p>
        </w:tc>
        <w:tc>
          <w:tcPr>
            <w:tcW w:type="dxa" w:w="19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Engagements de service, clause de réversibilité</w:t>
            </w:r>
          </w:p>
        </w:tc>
      </w:tr>
      <w:tr>
        <w:trPr>
          <w:cantSplit/>
        </w:trPr>
        <w:tc>
          <w:tcPr>
            <w:tcW w:type="dxa" w:w="1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DGFiP, CNIL, banque, assureur</w:t>
            </w:r>
          </w:p>
        </w:tc>
        <w:tc>
          <w:tcPr>
            <w:tcW w:type="dxa" w:w="1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Démontrer la conformité et la maîtrise des risques</w:t>
            </w:r>
          </w:p>
        </w:tc>
        <w:tc>
          <w:tcPr>
            <w:tcW w:type="dxa" w:w="22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Conformité et sécurité</w:t>
            </w:r>
          </w:p>
        </w:tc>
        <w:tc>
          <w:tcPr>
            <w:tcW w:type="dxa" w:w="21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Plateforme agréée, registre RGPD, échanges avec la banque et l'assureur</w:t>
            </w:r>
          </w:p>
        </w:tc>
        <w:tc>
          <w:tcPr>
            <w:tcW w:type="dxa" w:w="19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Information sur les mesures de sécurité prises</w:t>
            </w:r>
          </w:p>
        </w:tc>
      </w:tr>
    </w:tbl>
    <w:p>
      <w:pPr>
        <w:spacing w:after="200" w:before="80"/>
        <w:jc w:val="center"/>
      </w:pPr>
      <w:r>
        <w:rPr>
          <w:i/>
          <w:iCs/>
          <w:color w:val="595959"/>
          <w:sz w:val="18"/>
          <w:szCs w:val="18"/>
        </w:rPr>
        <w:t xml:space="preserve">Tableau 23 – Plan de communication et d'engagement par partie prenante</w:t>
      </w:r>
    </w:p>
    <w:p>
      <w:pPr>
        <w:pStyle w:val="Heading2"/>
      </w:pPr>
      <w:r>
        <w:t xml:space="preserve">6.3. Calendrier de communication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Moment</w:t>
            </w:r>
          </w:p>
        </w:tc>
        <w:tc>
          <w:tcPr>
            <w:tcW w:type="dxa" w:w="683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Actions</w:t>
            </w:r>
          </w:p>
        </w:tc>
      </w:tr>
      <w:tr>
        <w:trPr>
          <w:cantSplit/>
        </w:trPr>
        <w:tc>
          <w:tcPr>
            <w:tcW w:type="dxa" w:w="28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2 mois avant le déploiement</w:t>
            </w:r>
          </w:p>
        </w:tc>
        <w:tc>
          <w:tcPr>
            <w:tcW w:type="dxa" w:w="68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Annonce du projet par le co-gérant à l'ensemble des salariés ; entretiens individuels avec les assistantes</w:t>
            </w:r>
          </w:p>
        </w:tc>
      </w:tr>
      <w:tr>
        <w:trPr>
          <w:cantSplit/>
        </w:trPr>
        <w:tc>
          <w:tcPr>
            <w:tcW w:type="dxa" w:w="28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1 mois avant</w:t>
            </w:r>
          </w:p>
        </w:tc>
        <w:tc>
          <w:tcPr>
            <w:tcW w:type="dxa" w:w="68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Ateliers de co-construction ; démonstration aux chauffeurs ; lancement du test pilote</w:t>
            </w:r>
          </w:p>
        </w:tc>
      </w:tr>
      <w:tr>
        <w:trPr>
          <w:cantSplit/>
        </w:trPr>
        <w:tc>
          <w:tcPr>
            <w:tcW w:type="dxa" w:w="28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Lancement de chaque module</w:t>
            </w:r>
          </w:p>
        </w:tc>
        <w:tc>
          <w:tcPr>
            <w:tcW w:type="dxa" w:w="68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Formation, tutoriels vidéo, guide par QR code ; information des clients concernés</w:t>
            </w:r>
          </w:p>
        </w:tc>
      </w:tr>
      <w:tr>
        <w:trPr>
          <w:cantSplit/>
        </w:trPr>
        <w:tc>
          <w:tcPr>
            <w:tcW w:type="dxa" w:w="28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1 mois après</w:t>
            </w:r>
          </w:p>
        </w:tc>
        <w:tc>
          <w:tcPr>
            <w:tcW w:type="dxa" w:w="68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Recueil des retours (questionnaire court, échanges en réunion) ; ajustements</w:t>
            </w:r>
          </w:p>
        </w:tc>
      </w:tr>
      <w:tr>
        <w:trPr>
          <w:cantSplit/>
        </w:trPr>
        <w:tc>
          <w:tcPr>
            <w:tcW w:type="dxa" w:w="28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Fin du projet</w:t>
            </w:r>
          </w:p>
        </w:tc>
        <w:tc>
          <w:tcPr>
            <w:tcW w:type="dxa" w:w="68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Partage des résultats avec toute l'équipe ; communication externe sur le site et LinkedIn</w:t>
            </w:r>
          </w:p>
        </w:tc>
      </w:tr>
    </w:tbl>
    <w:p>
      <w:pPr>
        <w:spacing w:after="200" w:before="80"/>
        <w:jc w:val="center"/>
      </w:pPr>
      <w:r>
        <w:rPr>
          <w:i/>
          <w:iCs/>
          <w:color w:val="595959"/>
          <w:sz w:val="18"/>
          <w:szCs w:val="18"/>
        </w:rPr>
        <w:t xml:space="preserve">Tableau 24 – Calendrier de communication</w:t>
      </w:r>
    </w:p>
    <w:p>
      <w:pPr>
        <w:pStyle w:val="Heading1"/>
        <w:pageBreakBefore/>
      </w:pPr>
      <w:r>
        <w:t xml:space="preserve">7. La dimension RSE du projet</w:t>
      </w:r>
    </w:p>
    <w:p>
      <w:pPr>
        <w:spacing w:after="120" w:before="0"/>
        <w:jc w:val="both"/>
      </w:pPr>
      <w:r>
        <w:t xml:space="preserve">Comme nous l'avons montré en partie 1, la transformation numérique n'est pas neutre. Notre projet intègre les trois piliers de la RSE et s'appuie sur une sensibilité environnementale déjà présente dans l'entreprise, qui a bénéficié d'une aide de l'ADEME.</w:t>
      </w:r>
      <w:r>
        <w:rPr>
          <w:rStyle w:val="FootnoteReference"/>
        </w:rPr>
        <w:footnoteReference w:id="7"/>
      </w:r>
    </w:p>
    <w:p>
      <w:pPr>
        <w:pStyle w:val="Heading2"/>
      </w:pPr>
      <w:r>
        <w:t xml:space="preserve">7.1. Pilier environnemental</w:t>
      </w:r>
    </w:p>
    <w:p>
      <w:pPr>
        <w:pStyle w:val="ListParagraph"/>
        <w:numPr>
          <w:ilvl w:val="0"/>
          <w:numId w:val="2"/>
        </w:numPr>
        <w:spacing w:after="60"/>
        <w:jc w:val="both"/>
      </w:pPr>
      <w:r>
        <w:rPr>
          <w:b/>
          <w:bCs/>
        </w:rPr>
        <w:t xml:space="preserve">Zéro papier</w:t>
      </w:r>
      <w:r>
        <w:t xml:space="preserve"> : plannings, lettres de voiture, relevés et factures sont dématérialisés, ce qui réduit l'impression, l'affranchissement et l'archivage.</w:t>
      </w:r>
    </w:p>
    <w:p>
      <w:pPr>
        <w:pStyle w:val="ListParagraph"/>
        <w:numPr>
          <w:ilvl w:val="0"/>
          <w:numId w:val="2"/>
        </w:numPr>
        <w:spacing w:after="60"/>
        <w:jc w:val="both"/>
      </w:pPr>
      <w:r>
        <w:rPr>
          <w:b/>
          <w:bCs/>
        </w:rPr>
        <w:t xml:space="preserve">Moins de kilomètres inutiles</w:t>
      </w:r>
      <w:r>
        <w:t xml:space="preserve"> : les chauffeurs n'ont plus à passer au local pour déposer leurs lettres de voiture, et une meilleure planification limite les trajets à vide.</w:t>
      </w:r>
    </w:p>
    <w:p>
      <w:pPr>
        <w:pStyle w:val="ListParagraph"/>
        <w:numPr>
          <w:ilvl w:val="0"/>
          <w:numId w:val="2"/>
        </w:numPr>
        <w:spacing w:after="60"/>
        <w:jc w:val="both"/>
      </w:pPr>
      <w:r>
        <w:rPr>
          <w:b/>
          <w:bCs/>
        </w:rPr>
        <w:t xml:space="preserve">Information CO2 automatisée</w:t>
      </w:r>
      <w:r>
        <w:t xml:space="preserve"> : le SaaS peut calculer la quantité de CO2 émise par chaque prestation, une information que les transporteurs doivent fournir à leurs clients.</w:t>
      </w:r>
      <w:r>
        <w:rPr>
          <w:rStyle w:val="FootnoteReference"/>
        </w:rPr>
        <w:footnoteReference w:id="8"/>
      </w:r>
    </w:p>
    <w:p>
      <w:pPr>
        <w:pStyle w:val="ListParagraph"/>
        <w:numPr>
          <w:ilvl w:val="0"/>
          <w:numId w:val="2"/>
        </w:numPr>
        <w:spacing w:after="60"/>
        <w:jc w:val="both"/>
      </w:pPr>
      <w:r>
        <w:rPr>
          <w:b/>
          <w:bCs/>
        </w:rPr>
        <w:t xml:space="preserve">Sobriété matérielle</w:t>
      </w:r>
      <w:r>
        <w:t xml:space="preserve"> : aucun serveur à acheter, allongement de la durée de vie des postes existants, smartphones reconditionnés et recyclage des équipements usagés par la filière DEEE, dans l'esprit de la loi REEN.</w:t>
      </w:r>
    </w:p>
    <w:p>
      <w:pPr>
        <w:pStyle w:val="ListParagraph"/>
        <w:numPr>
          <w:ilvl w:val="0"/>
          <w:numId w:val="2"/>
        </w:numPr>
        <w:spacing w:after="60"/>
        <w:jc w:val="both"/>
      </w:pPr>
      <w:r>
        <w:rPr>
          <w:b/>
          <w:bCs/>
        </w:rPr>
        <w:t xml:space="preserve">Sobriété numérique</w:t>
      </w:r>
      <w:r>
        <w:t xml:space="preserve"> : site léger et éco-conçu, hébergement en Europe, suppression des données inutiles.</w:t>
      </w:r>
    </w:p>
    <w:p>
      <w:pPr>
        <w:pStyle w:val="ListParagraph"/>
        <w:numPr>
          <w:ilvl w:val="0"/>
          <w:numId w:val="2"/>
        </w:numPr>
        <w:spacing w:after="60"/>
        <w:jc w:val="both"/>
      </w:pPr>
      <w:r>
        <w:rPr>
          <w:b/>
          <w:bCs/>
        </w:rPr>
        <w:t xml:space="preserve">Perspective</w:t>
      </w:r>
      <w:r>
        <w:t xml:space="preserve"> : l'adhésion au programme Objectif CO2 de l'ADEME, qui accompagne les transporteurs dans la réduction de leurs émissions.</w:t>
      </w:r>
    </w:p>
    <w:p>
      <w:pPr>
        <w:pStyle w:val="Heading2"/>
      </w:pPr>
      <w:r>
        <w:t xml:space="preserve">7.2. Pilier social</w:t>
      </w:r>
    </w:p>
    <w:p>
      <w:pPr>
        <w:pStyle w:val="ListParagraph"/>
        <w:numPr>
          <w:ilvl w:val="0"/>
          <w:numId w:val="2"/>
        </w:numPr>
        <w:spacing w:after="60"/>
        <w:jc w:val="both"/>
      </w:pPr>
      <w:r>
        <w:rPr>
          <w:b/>
          <w:bCs/>
        </w:rPr>
        <w:t xml:space="preserve">Qualité de vie au travail</w:t>
      </w:r>
      <w:r>
        <w:t xml:space="preserve"> : moins de tâches répétitives et de stress pour les assistantes, plus d'autonomie pour les chauffeurs.</w:t>
      </w:r>
    </w:p>
    <w:p>
      <w:pPr>
        <w:pStyle w:val="ListParagraph"/>
        <w:numPr>
          <w:ilvl w:val="0"/>
          <w:numId w:val="2"/>
        </w:numPr>
        <w:spacing w:after="60"/>
        <w:jc w:val="both"/>
      </w:pPr>
      <w:r>
        <w:rPr>
          <w:b/>
          <w:bCs/>
        </w:rPr>
        <w:t xml:space="preserve">Une réorganisation responsable</w:t>
      </w:r>
      <w:r>
        <w:t xml:space="preserve"> : le passage de deux postes d'assistante à un seul ne doit pas se traduire par un licenciement sec. Nous recommandons de s'appuyer sur un départ naturel (fin de contrat, mobilité, retraite) ou de </w:t>
      </w:r>
      <w:r>
        <w:rPr>
          <w:b/>
          <w:bCs/>
        </w:rPr>
        <w:t xml:space="preserve">redéployer la seconde assistante</w:t>
      </w:r>
      <w:r>
        <w:t xml:space="preserve"> vers des missions à plus forte valeur ajoutée : développement commercial grâce au site, relation client, exploitation, suivi de la qualité et de la RSE.</w:t>
      </w:r>
    </w:p>
    <w:p>
      <w:pPr>
        <w:pStyle w:val="ListParagraph"/>
        <w:numPr>
          <w:ilvl w:val="0"/>
          <w:numId w:val="2"/>
        </w:numPr>
        <w:spacing w:after="60"/>
        <w:jc w:val="both"/>
      </w:pPr>
      <w:r>
        <w:rPr>
          <w:b/>
          <w:bCs/>
        </w:rPr>
        <w:t xml:space="preserve">Formation et inclusion numérique</w:t>
      </w:r>
      <w:r>
        <w:t xml:space="preserve"> : formation adaptée au niveau de chacun, tutoriels, binômes avec les chauffeurs ambassadeurs, financement possible par l'OPCO Mobilités.</w:t>
      </w:r>
    </w:p>
    <w:p>
      <w:pPr>
        <w:pStyle w:val="ListParagraph"/>
        <w:numPr>
          <w:ilvl w:val="0"/>
          <w:numId w:val="2"/>
        </w:numPr>
        <w:spacing w:after="60"/>
        <w:jc w:val="both"/>
      </w:pPr>
      <w:r>
        <w:rPr>
          <w:b/>
          <w:bCs/>
        </w:rPr>
        <w:t xml:space="preserve">Droit à la déconnexion</w:t>
      </w:r>
      <w:r>
        <w:t xml:space="preserve"> : une charte fixe les plages horaires d'envoi des notifications de planning.</w:t>
      </w:r>
    </w:p>
    <w:p>
      <w:pPr>
        <w:pStyle w:val="ListParagraph"/>
        <w:numPr>
          <w:ilvl w:val="0"/>
          <w:numId w:val="2"/>
        </w:numPr>
        <w:spacing w:after="60"/>
        <w:jc w:val="both"/>
      </w:pPr>
      <w:r>
        <w:rPr>
          <w:b/>
          <w:bCs/>
        </w:rPr>
        <w:t xml:space="preserve">Respect de la vie privée</w:t>
      </w:r>
      <w:r>
        <w:t xml:space="preserve"> : pas de géolocalisation permanente des chauffeurs ; toute géolocalisation éventuelle est limitée au temps de travail, justifiée et portée à la connaissance des salariés, conformément aux recommandations de la CNIL.</w:t>
      </w:r>
      <w:r>
        <w:rPr>
          <w:rStyle w:val="FootnoteReference"/>
        </w:rPr>
        <w:footnoteReference w:id="9"/>
      </w:r>
    </w:p>
    <w:p>
      <w:pPr>
        <w:pStyle w:val="Heading2"/>
      </w:pPr>
      <w:r>
        <w:t xml:space="preserve">7.3. Pilier économique et gouvernance</w:t>
      </w:r>
    </w:p>
    <w:p>
      <w:pPr>
        <w:pStyle w:val="ListParagraph"/>
        <w:numPr>
          <w:ilvl w:val="0"/>
          <w:numId w:val="2"/>
        </w:numPr>
        <w:spacing w:after="60"/>
        <w:jc w:val="both"/>
      </w:pPr>
      <w:r>
        <w:rPr>
          <w:b/>
          <w:bCs/>
        </w:rPr>
        <w:t xml:space="preserve">Conformité</w:t>
      </w:r>
      <w:r>
        <w:t xml:space="preserve"> : facture électronique, indexation gazole, RGPD.</w:t>
      </w:r>
    </w:p>
    <w:p>
      <w:pPr>
        <w:pStyle w:val="ListParagraph"/>
        <w:numPr>
          <w:ilvl w:val="0"/>
          <w:numId w:val="2"/>
        </w:numPr>
        <w:spacing w:after="60"/>
        <w:jc w:val="both"/>
      </w:pPr>
      <w:r>
        <w:rPr>
          <w:b/>
          <w:bCs/>
        </w:rPr>
        <w:t xml:space="preserve">Loyauté envers les clients</w:t>
      </w:r>
      <w:r>
        <w:t xml:space="preserve"> : une indexation calculée automatiquement et affichée clairement sur la facture ; des clients protégés contre les faux devis grâce à une messagerie sécurisée.</w:t>
      </w:r>
    </w:p>
    <w:p>
      <w:pPr>
        <w:pStyle w:val="ListParagraph"/>
        <w:numPr>
          <w:ilvl w:val="0"/>
          <w:numId w:val="2"/>
        </w:numPr>
        <w:spacing w:after="60"/>
        <w:jc w:val="both"/>
      </w:pPr>
      <w:r>
        <w:rPr>
          <w:b/>
          <w:bCs/>
        </w:rPr>
        <w:t xml:space="preserve">Pérennité</w:t>
      </w:r>
      <w:r>
        <w:t xml:space="preserve"> : les économies réalisées renforcent la rentabilité et la trésorerie, donc la sécurité des emplois.</w:t>
      </w:r>
    </w:p>
    <w:p>
      <w:pPr>
        <w:pStyle w:val="ListParagraph"/>
        <w:numPr>
          <w:ilvl w:val="0"/>
          <w:numId w:val="2"/>
        </w:numPr>
        <w:spacing w:after="60"/>
        <w:jc w:val="both"/>
      </w:pPr>
      <w:r>
        <w:rPr>
          <w:b/>
          <w:bCs/>
        </w:rPr>
        <w:t xml:space="preserve">Respect des délais de paiement</w:t>
      </w:r>
      <w:r>
        <w:t xml:space="preserve"> : les relances automatiques s'appuient sur le délai légal de trente jours applicable au transport routier de marchandises.</w:t>
      </w:r>
      <w:r>
        <w:rPr>
          <w:rStyle w:val="FootnoteReference"/>
        </w:rPr>
        <w:footnoteReference w:id="10"/>
      </w:r>
    </w:p>
    <w:p>
      <w:pPr>
        <w:pStyle w:val="Heading2"/>
      </w:pPr>
      <w:r>
        <w:t xml:space="preserve">7.4. Indicateurs 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700"/>
        <w:gridCol w:w="2538"/>
      </w:tblGrid>
      <w:tr>
        <w:trPr>
          <w:cantSplit/>
          <w:tblHeader/>
        </w:trPr>
        <w:tc>
          <w:tcPr>
            <w:tcW w:type="dxa" w:w="44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Indicateur</w:t>
            </w:r>
          </w:p>
        </w:tc>
        <w:tc>
          <w:tcPr>
            <w:tcW w:type="dxa" w:w="27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Situation initiale</w:t>
            </w:r>
          </w:p>
        </w:tc>
        <w:tc>
          <w:tcPr>
            <w:tcW w:type="dxa" w:w="253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Cible</w:t>
            </w:r>
          </w:p>
        </w:tc>
      </w:tr>
      <w:tr>
        <w:trPr>
          <w:cantSplit/>
        </w:trPr>
        <w:tc>
          <w:tcPr>
            <w:tcW w:type="dxa" w:w="44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Pages imprimées par mois</w:t>
            </w:r>
          </w:p>
        </w:tc>
        <w:tc>
          <w:tcPr>
            <w:tcW w:type="dxa" w:w="2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À mesurer en phase 0</w:t>
            </w:r>
          </w:p>
        </w:tc>
        <w:tc>
          <w:tcPr>
            <w:tcW w:type="dxa" w:w="25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 80 %</w:t>
            </w:r>
          </w:p>
        </w:tc>
      </w:tr>
      <w:tr>
        <w:trPr>
          <w:cantSplit/>
        </w:trPr>
        <w:tc>
          <w:tcPr>
            <w:tcW w:type="dxa" w:w="44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Trajets dédiés au dépôt des lettres de voiture</w:t>
            </w:r>
          </w:p>
        </w:tc>
        <w:tc>
          <w:tcPr>
            <w:tcW w:type="dxa" w:w="27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À mesurer en phase 0</w:t>
            </w:r>
          </w:p>
        </w:tc>
        <w:tc>
          <w:tcPr>
            <w:tcW w:type="dxa" w:w="25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0</w:t>
            </w:r>
          </w:p>
        </w:tc>
      </w:tr>
      <w:tr>
        <w:trPr>
          <w:cantSplit/>
        </w:trPr>
        <w:tc>
          <w:tcPr>
            <w:tcW w:type="dxa" w:w="44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Heures administratives répétitives par semaine</w:t>
            </w:r>
          </w:p>
        </w:tc>
        <w:tc>
          <w:tcPr>
            <w:tcW w:type="dxa" w:w="2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À mesurer en phase 0</w:t>
            </w:r>
          </w:p>
        </w:tc>
        <w:tc>
          <w:tcPr>
            <w:tcW w:type="dxa" w:w="25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 50 %</w:t>
            </w:r>
          </w:p>
        </w:tc>
      </w:tr>
      <w:tr>
        <w:trPr>
          <w:cantSplit/>
        </w:trPr>
        <w:tc>
          <w:tcPr>
            <w:tcW w:type="dxa" w:w="44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Salariés formés à l'outil</w:t>
            </w:r>
          </w:p>
        </w:tc>
        <w:tc>
          <w:tcPr>
            <w:tcW w:type="dxa" w:w="27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0 %</w:t>
            </w:r>
          </w:p>
        </w:tc>
        <w:tc>
          <w:tcPr>
            <w:tcW w:type="dxa" w:w="25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100 %</w:t>
            </w:r>
          </w:p>
        </w:tc>
      </w:tr>
      <w:tr>
        <w:trPr>
          <w:cantSplit/>
        </w:trPr>
        <w:tc>
          <w:tcPr>
            <w:tcW w:type="dxa" w:w="44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Incidents de cybersécurité</w:t>
            </w:r>
          </w:p>
        </w:tc>
        <w:tc>
          <w:tcPr>
            <w:tcW w:type="dxa" w:w="27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Au moins 1 (faux devis)</w:t>
            </w:r>
          </w:p>
        </w:tc>
        <w:tc>
          <w:tcPr>
            <w:tcW w:type="dxa" w:w="25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0</w:t>
            </w:r>
          </w:p>
        </w:tc>
      </w:tr>
      <w:tr>
        <w:trPr>
          <w:cantSplit/>
        </w:trPr>
        <w:tc>
          <w:tcPr>
            <w:tcW w:type="dxa" w:w="44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Part des équipements reconditionnés dans les achats</w:t>
            </w:r>
          </w:p>
        </w:tc>
        <w:tc>
          <w:tcPr>
            <w:tcW w:type="dxa" w:w="27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0 %</w:t>
            </w:r>
          </w:p>
        </w:tc>
        <w:tc>
          <w:tcPr>
            <w:tcW w:type="dxa" w:w="25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100 % des smartphones</w:t>
            </w:r>
          </w:p>
        </w:tc>
      </w:tr>
    </w:tbl>
    <w:p>
      <w:pPr>
        <w:spacing w:after="200" w:before="80"/>
        <w:jc w:val="center"/>
      </w:pPr>
      <w:r>
        <w:rPr>
          <w:i/>
          <w:iCs/>
          <w:color w:val="595959"/>
          <w:sz w:val="18"/>
          <w:szCs w:val="18"/>
        </w:rPr>
        <w:t xml:space="preserve">Tableau 25 – Indicateurs de suivi RSE</w:t>
      </w:r>
    </w:p>
    <w:p>
      <w:pPr>
        <w:pStyle w:val="Heading1"/>
        <w:pageBreakBefore/>
      </w:pPr>
      <w:r>
        <w:t xml:space="preserve">8. Rapport détaillé : opportunités et défis du projet</w:t>
      </w:r>
    </w:p>
    <w:p>
      <w:pPr>
        <w:spacing w:after="120" w:before="0"/>
        <w:jc w:val="both"/>
      </w:pPr>
      <w:r>
        <w:rPr>
          <w:i/>
          <w:iCs/>
        </w:rPr>
        <w:t xml:space="preserve">Ce rapport synthétise les opportunités et les défis spécifiques à BV2G Transport pour la réalisation de son projet de transformation numérique. Il a vocation à être repris dans le rapport final.</w:t>
      </w:r>
    </w:p>
    <w:p>
      <w:pPr>
        <w:pStyle w:val="Heading2"/>
      </w:pPr>
      <w:r>
        <w:t xml:space="preserve">8.1. Contexte : une entreprise rentable, freinée par son organisation</w:t>
      </w:r>
    </w:p>
    <w:p>
      <w:pPr>
        <w:spacing w:after="120" w:before="0"/>
        <w:jc w:val="both"/>
      </w:pPr>
      <w:r>
        <w:t xml:space="preserve">BV2G Transport est une jeune entreprise, créée en 2021, qui a su construire en quelques années une activité réelle : 7 camions en propriété, 40 à 50 clients et une capacité à doubler sa flotte en haute saison. Son modèle commercial fonctionne. En revanche, son organisation interne n'a pas suivi la croissance : toute l'information transite par deux assistantes de direction, sur papier ou dans des fichiers Excel.</w:t>
      </w:r>
    </w:p>
    <w:p>
      <w:pPr>
        <w:spacing w:after="120" w:before="0"/>
        <w:jc w:val="both"/>
      </w:pPr>
      <w:r>
        <w:t xml:space="preserve">La chute du résultat net, de 77,8 k€ à 9,1 k€, montre que l'entreprise n'a plus de marge pour absorber des coûts de fonctionnement élevés. Dans ce contexte, la transformation numérique n'est pas un projet de confort : c'est un levier de performance économique et de mise en conformité.</w:t>
      </w:r>
    </w:p>
    <w:p>
      <w:pPr>
        <w:pStyle w:val="Heading2"/>
      </w:pPr>
      <w:r>
        <w:t xml:space="preserve">8.2. Les opportunités</w:t>
      </w:r>
    </w:p>
    <w:p>
      <w:pPr>
        <w:pStyle w:val="Heading3"/>
      </w:pPr>
      <w:r>
        <w:t xml:space="preserve">a) Libérer les assistantes de direction et réorganiser le poste</w:t>
      </w:r>
    </w:p>
    <w:p>
      <w:pPr>
        <w:spacing w:after="120" w:before="0"/>
        <w:jc w:val="both"/>
      </w:pPr>
      <w:r>
        <w:t xml:space="preserve">C'est l'opportunité centrale du projet. Aujourd'hui, les assistantes consacrent l'essentiel de leur temps à des tâches de transmission et de saisie : rédiger et diffuser le planning, collecter les lettres de voiture, les ressaisir, calculer l'indexation, établir les factures, relancer les clients. Le SaaS automatise la majorité de ces tâches. L'assistante passe d'un rôle d'exécution à un rôle de contrôle et de décision : elle valide les devis, organise le planning et vérifie les factures préparées par l'IA. Cette évolution permet d'assurer la charge administrative avec une seule personne, soit une économie estimée à 30 000 € par an, ou de redéployer la seconde assistante vers le développement commercial.</w:t>
      </w:r>
    </w:p>
    <w:p>
      <w:pPr>
        <w:pStyle w:val="Heading3"/>
      </w:pPr>
      <w:r>
        <w:t xml:space="preserve">b) Rendre les chauffeurs autonomes</w:t>
      </w:r>
    </w:p>
    <w:p>
      <w:pPr>
        <w:spacing w:after="120" w:before="0"/>
        <w:jc w:val="both"/>
      </w:pPr>
      <w:r>
        <w:t xml:space="preserve">Les chauffeurs dépendent aujourd'hui des assistantes pour connaître leur planning, et doivent passer au local pour déposer leurs lettres de voiture. Avec l'application mobile, ils consultent leur planning à tout moment, sont prévenus en cas de changement et transmettent leurs documents d'une simple photo. Le gain est double : moins de temps perdu et de trajets pour les chauffeurs, moins d'appels et d'impressions pour les assistantes. Dans un secteur qui manque de conducteurs, des outils modernes sont aussi un argument pour attirer et fidéliser.</w:t>
      </w:r>
    </w:p>
    <w:p>
      <w:pPr>
        <w:pStyle w:val="Heading3"/>
      </w:pPr>
      <w:r>
        <w:t xml:space="preserve">c) Améliorer la trésorerie et protéger la marge</w:t>
      </w:r>
    </w:p>
    <w:p>
      <w:pPr>
        <w:spacing w:after="120" w:before="0"/>
        <w:jc w:val="both"/>
      </w:pPr>
      <w:r>
        <w:t xml:space="preserve">Le délai entre la livraison et la facture dépend aujourd'hui du retour physique des documents. Avec la numérisation des lettres de voiture et la pré-facturation par IA, la facture peut être préparée le jour même de la livraison. Les relances automatiques assurent ensuite un suivi régulier de chaque échéance, sans effort supplémentaire. L'indexation gazole calculée automatiquement évite les oublis et les erreurs, qui représentent une perte de marge directe lorsque le prix du carburant varie fortement. Enfin, le tableau de suivi des factures donne aux gérants une vision en temps réel de leur trésorerie.</w:t>
      </w:r>
    </w:p>
    <w:p>
      <w:pPr>
        <w:pStyle w:val="Heading3"/>
      </w:pPr>
      <w:r>
        <w:t xml:space="preserve">d) Transformer une contrainte réglementaire en levier</w:t>
      </w:r>
    </w:p>
    <w:p>
      <w:pPr>
        <w:spacing w:after="120" w:before="0"/>
        <w:jc w:val="both"/>
      </w:pPr>
      <w:r>
        <w:t xml:space="preserve">La réforme de la facturation électronique impose à BV2G de recevoir des factures électroniques depuis le 1er septembre 2026 et de les émettre à partir du 1er septembre 2027. Plutôt que de subir cette obligation avec un outil ajouté dans l'urgence, le projet l'intègre dans une refonte globale : la facture électronique devient la dernière étape d'une chaîne entièrement numérique, de la lettre de voiture jusqu'à l'export comptable. La reconnaissance de la lettre de voiture électronique et le règlement européen eFTI vont dans le même sens : l'entreprise prend de l'avance sur la dématérialisation des documents de transport.</w:t>
      </w:r>
    </w:p>
    <w:p>
      <w:pPr>
        <w:pStyle w:val="Heading3"/>
      </w:pPr>
      <w:r>
        <w:t xml:space="preserve">e) Gagner en visibilité et développer l'activité</w:t>
      </w:r>
    </w:p>
    <w:p>
      <w:pPr>
        <w:spacing w:after="120" w:before="0"/>
        <w:jc w:val="both"/>
      </w:pPr>
      <w:r>
        <w:t xml:space="preserve">Sans site internet, BV2G est invisible pour un client qui cherche un transporteur dans la vallée du Rhône. Le site lui offre une vitrine, un formulaire de devis accessible jour et nuit et une page recrutement. Associé à une fiche d'établissement Google et à une page LinkedIn, il renforce la crédibilité de l'entreprise face à des concurrents plus digitalisés. Il fournit aussi un nom de domaine propre, indispensable pour disposer d'adresses e-mail professionnelles sécurisées.</w:t>
      </w:r>
    </w:p>
    <w:p>
      <w:pPr>
        <w:pStyle w:val="Heading3"/>
      </w:pPr>
      <w:r>
        <w:t xml:space="preserve">f) Sécuriser l'entreprise et regagner la confiance des clients</w:t>
      </w:r>
    </w:p>
    <w:p>
      <w:pPr>
        <w:spacing w:after="120" w:before="0"/>
        <w:jc w:val="both"/>
      </w:pPr>
      <w:r>
        <w:t xml:space="preserve">Le piratage de la messagerie et l'envoi de faux devis ont touché la confiance des clients. Une messagerie professionnelle protégée, des sauvegardes automatiques et une procédure anti-fraude répondent directement à ce problème. La sécurité devient même un argument commercial : l'entreprise peut montrer à ses clients qu'elle protège leurs données et leurs paiements.</w:t>
      </w:r>
    </w:p>
    <w:p>
      <w:pPr>
        <w:pStyle w:val="Heading3"/>
      </w:pPr>
      <w:r>
        <w:t xml:space="preserve">g) Piloter par la donnée</w:t>
      </w:r>
    </w:p>
    <w:p>
      <w:pPr>
        <w:spacing w:after="120" w:before="0"/>
        <w:jc w:val="both"/>
      </w:pPr>
      <w:r>
        <w:t xml:space="preserve">Aujourd'hui, les gérants ne disposent d'aucune vision consolidée de l'activité. Le SaaS centralise les données de planning, de transport et de facturation. Il devient possible de suivre le chiffre d'affaires par client, le taux d'utilisation des camions ou le délai moyen de paiement, et de prendre des décisions fondées sur des chiffres : quels clients renégocier, quand louer des camions, quand recruter des intérimaires.</w:t>
      </w:r>
    </w:p>
    <w:p>
      <w:pPr>
        <w:pStyle w:val="Heading2"/>
      </w:pPr>
      <w:r>
        <w:t xml:space="preserve">8.3. Les défis</w:t>
      </w:r>
    </w:p>
    <w:p>
      <w:pPr>
        <w:pStyle w:val="Heading3"/>
      </w:pPr>
      <w:r>
        <w:t xml:space="preserve">a) Le défi financier</w:t>
      </w:r>
    </w:p>
    <w:p>
      <w:pPr>
        <w:spacing w:after="120" w:before="0"/>
        <w:jc w:val="both"/>
      </w:pPr>
      <w:r>
        <w:t xml:space="preserve">Le projet représente environ 10 400 € d'investissement initial et 5 000 € d'abonnements annuels, pour une entreprise dont le dernier résultat net est de 9,1 k€. Même si le retour sur investissement est rapide, la dépense initiale doit être étalée et sécurisée. </w:t>
      </w:r>
      <w:r>
        <w:rPr>
          <w:b/>
          <w:bCs/>
        </w:rPr>
        <w:t xml:space="preserve">Nos réponses</w:t>
      </w:r>
      <w:r>
        <w:t xml:space="preserve"> : privilégier les abonnements aux achats, déployer module par module pour lisser les dépenses, mobiliser les aides disponibles (France Num, CCI, OPCO Mobilités) et négocier des contrats sans engagement de longue durée pendant la phase de test.</w:t>
      </w:r>
    </w:p>
    <w:p>
      <w:pPr>
        <w:pStyle w:val="Heading3"/>
      </w:pPr>
      <w:r>
        <w:t xml:space="preserve">b) Le défi humain : la conduite du changement</w:t>
      </w:r>
    </w:p>
    <w:p>
      <w:pPr>
        <w:spacing w:after="120" w:before="0"/>
        <w:jc w:val="both"/>
      </w:pPr>
      <w:r>
        <w:t xml:space="preserve">C'est le défi le plus important. Les assistantes peuvent percevoir le projet comme une menace pour leur emploi ; certains chauffeurs peuvent être réticents à utiliser une application, par manque d'aisance numérique ou par crainte d'être surveillés. Comme nous l'avons rappelé en partie 1, un outil imposé sans explication a peu de chances d'être utilisé. </w:t>
      </w:r>
      <w:r>
        <w:rPr>
          <w:b/>
          <w:bCs/>
        </w:rPr>
        <w:t xml:space="preserve">Nos réponses</w:t>
      </w:r>
      <w:r>
        <w:t xml:space="preserve"> : une communication transparente dès le départ, l'implication des assistantes dans le choix de l'outil, des chauffeurs ambassadeurs, une formation adaptée à chacun et une charte d'usage qui garantit le droit à la déconnexion et le respect de la vie privée.</w:t>
      </w:r>
    </w:p>
    <w:p>
      <w:pPr>
        <w:pStyle w:val="Heading3"/>
      </w:pPr>
      <w:r>
        <w:t xml:space="preserve">c) Le défi organisationnel : la saisonnalité</w:t>
      </w:r>
    </w:p>
    <w:p>
      <w:pPr>
        <w:spacing w:after="120" w:before="0"/>
        <w:jc w:val="both"/>
      </w:pPr>
      <w:r>
        <w:t xml:space="preserve">L'activité de BV2G double presque en haute saison, avec jusqu'à 15 camions loués et 20 intérimaires. Déployer un nouvel outil à ce moment serait risqué. De plus, les intérimaires changent souvent et n'ont pas le temps d'être formés longuement. </w:t>
      </w:r>
      <w:r>
        <w:rPr>
          <w:b/>
          <w:bCs/>
        </w:rPr>
        <w:t xml:space="preserve">Nos réponses</w:t>
      </w:r>
      <w:r>
        <w:t xml:space="preserve"> : caler les déploiements en période creuse, prévoir un mois de fonctionnement en parallèle papier et numérique, choisir une application très simple et préparer un guide de démarrage rapide accessible par QR code.</w:t>
      </w:r>
    </w:p>
    <w:p>
      <w:pPr>
        <w:pStyle w:val="Heading3"/>
      </w:pPr>
      <w:r>
        <w:t xml:space="preserve">d) Le défi technique : choisir, intégrer, reprendre les données</w:t>
      </w:r>
    </w:p>
    <w:p>
      <w:pPr>
        <w:spacing w:after="120" w:before="0"/>
        <w:jc w:val="both"/>
      </w:pPr>
      <w:r>
        <w:t xml:space="preserve">Le marché propose de nombreuses solutions, et le risque de mal choisir est réel : outil trop complexe, modules manquants, coûts cachés, dépendance à un éditeur. Il faut aussi relier le SaaS aux outils existants (DH DOC, logiciel de l'expert-comptable, plateforme agréée) et reprendre des données clients et tarifaires aujourd'hui dispersées. Enfin, les chauffeurs doivent pouvoir utiliser l'application dans des zones mal couvertes par le réseau mobile. </w:t>
      </w:r>
      <w:r>
        <w:rPr>
          <w:b/>
          <w:bCs/>
        </w:rPr>
        <w:t xml:space="preserve">Nos réponses</w:t>
      </w:r>
      <w:r>
        <w:t xml:space="preserve"> : un cahier des charges précis, des démonstrations et des tests avant tout engagement, une application capable de fonctionner hors connexion, une clause de réversibilité des données et une reprise des données préparée avec la référente.</w:t>
      </w:r>
    </w:p>
    <w:p>
      <w:pPr>
        <w:pStyle w:val="Heading3"/>
      </w:pPr>
      <w:r>
        <w:t xml:space="preserve">e) Le défi de l'intelligence artificielle</w:t>
      </w:r>
    </w:p>
    <w:p>
      <w:pPr>
        <w:spacing w:after="120" w:before="0"/>
        <w:jc w:val="both"/>
      </w:pPr>
      <w:r>
        <w:t xml:space="preserve">La pré-facturation par IA fait gagner beaucoup de temps, mais l'IA peut se tromper : lettre de voiture mal photographiée, tarif particulier, prestation inhabituelle. Une facture erronée coûte cher en crédibilité. </w:t>
      </w:r>
      <w:r>
        <w:rPr>
          <w:b/>
          <w:bCs/>
        </w:rPr>
        <w:t xml:space="preserve">Notre réponse</w:t>
      </w:r>
      <w:r>
        <w:t xml:space="preserve"> : l'IA prépare, l'humain valide. Aucune facture n'est émise sans le contrôle de l'assistante, et les cas incertains sont signalés automatiquement pour vérification.</w:t>
      </w:r>
    </w:p>
    <w:p>
      <w:pPr>
        <w:pStyle w:val="Heading3"/>
      </w:pPr>
      <w:r>
        <w:t xml:space="preserve">f) Le défi de la sécurité et du RGPD</w:t>
      </w:r>
    </w:p>
    <w:p>
      <w:pPr>
        <w:spacing w:after="120" w:before="0"/>
        <w:jc w:val="both"/>
      </w:pPr>
      <w:r>
        <w:t xml:space="preserve">En centralisant toutes les données dans un outil en ligne, l'entreprise crée une cible plus attractive pour les pirates. Les données des salariés (plannings, éventuelle géolocalisation) et des clients sont protégées par le RGPD. </w:t>
      </w:r>
      <w:r>
        <w:rPr>
          <w:b/>
          <w:bCs/>
        </w:rPr>
        <w:t xml:space="preserve">Nos réponses</w:t>
      </w:r>
      <w:r>
        <w:t xml:space="preserve"> : un hébergement des données dans l'Union européenne, la double authentification sur tous les accès, des droits d'accès limités au strict nécessaire, un registre des traitements et une information claire des salariés.</w:t>
      </w:r>
    </w:p>
    <w:p>
      <w:pPr>
        <w:pStyle w:val="Heading3"/>
      </w:pPr>
      <w:r>
        <w:t xml:space="preserve">g) Le défi social et éthique : la réduction d'un poste</w:t>
      </w:r>
    </w:p>
    <w:p>
      <w:pPr>
        <w:spacing w:after="120" w:before="0"/>
        <w:jc w:val="both"/>
      </w:pPr>
      <w:r>
        <w:t xml:space="preserve">L'objectif de passer de deux assistantes à une seule est économiquement justifié, mais il engage la responsabilité sociale de l'entreprise. Mal géré, il dégraderait le climat social et l'adhésion au projet. </w:t>
      </w:r>
      <w:r>
        <w:rPr>
          <w:b/>
          <w:bCs/>
        </w:rPr>
        <w:t xml:space="preserve">Notre réponse</w:t>
      </w:r>
      <w:r>
        <w:t xml:space="preserve"> : anticiper la réorganisation, privilégier un départ naturel ou un redéploiement, et présenter le projet comme une évolution des métiers plutôt que comme une suppression de poste.</w:t>
      </w:r>
    </w:p>
    <w:p>
      <w:pPr>
        <w:pStyle w:val="Heading2"/>
      </w:pPr>
      <w:r>
        <w:t xml:space="preserve">8.4.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100"/>
        <w:gridCol w:w="3338"/>
      </w:tblGrid>
      <w:tr>
        <w:trPr>
          <w:cantSplit/>
          <w:tblHeader/>
        </w:trPr>
        <w:tc>
          <w:tcPr>
            <w:tcW w:type="dxa" w:w="32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Opportunité</w:t>
            </w:r>
          </w:p>
        </w:tc>
        <w:tc>
          <w:tcPr>
            <w:tcW w:type="dxa" w:w="3100"/>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Défi associé</w:t>
            </w:r>
          </w:p>
        </w:tc>
        <w:tc>
          <w:tcPr>
            <w:tcW w:type="dxa" w:w="3338"/>
            <w:tcBorders>
              <w:top w:val="single" w:color="BFC8D6" w:sz="4"/>
              <w:left w:val="single" w:color="BFC8D6" w:sz="4"/>
              <w:bottom w:val="single" w:color="BFC8D6" w:sz="4"/>
              <w:right w:val="single" w:color="BFC8D6" w:sz="4"/>
            </w:tcBorders>
            <w:shd w:fill="1F3864" w:color="auto" w:val="clear"/>
            <w:tcMar>
              <w:top w:type="dxa" w:w="70"/>
              <w:left w:type="dxa" w:w="100"/>
              <w:bottom w:type="dxa" w:w="70"/>
              <w:right w:type="dxa" w:w="100"/>
            </w:tcMar>
            <w:vAlign w:val="center"/>
          </w:tcPr>
          <w:p>
            <w:pPr>
              <w:spacing w:after="40"/>
              <w:jc w:val="left"/>
            </w:pPr>
            <w:r>
              <w:rPr>
                <w:b/>
                <w:bCs/>
                <w:color w:val="FFFFFF"/>
                <w:sz w:val="19"/>
                <w:szCs w:val="19"/>
              </w:rPr>
              <w:t xml:space="preserve">Réponse proposée</w:t>
            </w:r>
          </w:p>
        </w:tc>
      </w:tr>
      <w:tr>
        <w:trPr>
          <w:cantSplit/>
        </w:trPr>
        <w:tc>
          <w:tcPr>
            <w:tcW w:type="dxa" w:w="32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Libérer les assistantes (1 poste au lieu de 2)</w:t>
            </w:r>
          </w:p>
        </w:tc>
        <w:tc>
          <w:tcPr>
            <w:tcW w:type="dxa" w:w="31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Crainte pour l'emploi, climat social</w:t>
            </w:r>
          </w:p>
        </w:tc>
        <w:tc>
          <w:tcPr>
            <w:tcW w:type="dxa" w:w="33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Co-construction, redéploiement ou départ naturel</w:t>
            </w:r>
          </w:p>
        </w:tc>
      </w:tr>
      <w:tr>
        <w:trPr>
          <w:cantSplit/>
        </w:trPr>
        <w:tc>
          <w:tcPr>
            <w:tcW w:type="dxa" w:w="32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Chauffeurs autonomes</w:t>
            </w:r>
          </w:p>
        </w:tc>
        <w:tc>
          <w:tcPr>
            <w:tcW w:type="dxa" w:w="31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Réticence, aisance numérique, vie privée</w:t>
            </w:r>
          </w:p>
        </w:tc>
        <w:tc>
          <w:tcPr>
            <w:tcW w:type="dxa" w:w="33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Ambassadeurs, tutoriels, charte d'usage</w:t>
            </w:r>
          </w:p>
        </w:tc>
      </w:tr>
      <w:tr>
        <w:trPr>
          <w:cantSplit/>
        </w:trPr>
        <w:tc>
          <w:tcPr>
            <w:tcW w:type="dxa" w:w="32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Trésorerie et marge protégées</w:t>
            </w:r>
          </w:p>
        </w:tc>
        <w:tc>
          <w:tcPr>
            <w:tcW w:type="dxa" w:w="31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Fiabilité de l'IA</w:t>
            </w:r>
          </w:p>
        </w:tc>
        <w:tc>
          <w:tcPr>
            <w:tcW w:type="dxa" w:w="33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Validation humaine systématique</w:t>
            </w:r>
          </w:p>
        </w:tc>
      </w:tr>
      <w:tr>
        <w:trPr>
          <w:cantSplit/>
        </w:trPr>
        <w:tc>
          <w:tcPr>
            <w:tcW w:type="dxa" w:w="32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Conformité à la facture électronique</w:t>
            </w:r>
          </w:p>
        </w:tc>
        <w:tc>
          <w:tcPr>
            <w:tcW w:type="dxa" w:w="31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Échéance courte (septembre 2027)</w:t>
            </w:r>
          </w:p>
        </w:tc>
        <w:tc>
          <w:tcPr>
            <w:tcW w:type="dxa" w:w="33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Plateforme agréée dès la phase 1, calendrier serré</w:t>
            </w:r>
          </w:p>
        </w:tc>
      </w:tr>
      <w:tr>
        <w:trPr>
          <w:cantSplit/>
        </w:trPr>
        <w:tc>
          <w:tcPr>
            <w:tcW w:type="dxa" w:w="32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Visibilité et développement commercial</w:t>
            </w:r>
          </w:p>
        </w:tc>
        <w:tc>
          <w:tcPr>
            <w:tcW w:type="dxa" w:w="31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Coût et contenu du site</w:t>
            </w:r>
          </w:p>
        </w:tc>
        <w:tc>
          <w:tcPr>
            <w:tcW w:type="dxa" w:w="33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Site simple, référencement local, mises à jour par l'entreprise</w:t>
            </w:r>
          </w:p>
        </w:tc>
      </w:tr>
      <w:tr>
        <w:trPr>
          <w:cantSplit/>
        </w:trPr>
        <w:tc>
          <w:tcPr>
            <w:tcW w:type="dxa" w:w="32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Sécurité renforcée</w:t>
            </w:r>
          </w:p>
        </w:tc>
        <w:tc>
          <w:tcPr>
            <w:tcW w:type="dxa" w:w="31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Centralisation des données</w:t>
            </w:r>
          </w:p>
        </w:tc>
        <w:tc>
          <w:tcPr>
            <w:tcW w:type="dxa" w:w="33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Double authentification, sauvegardes, hébergement en Europe</w:t>
            </w:r>
          </w:p>
        </w:tc>
      </w:tr>
      <w:tr>
        <w:trPr>
          <w:cantSplit/>
        </w:trPr>
        <w:tc>
          <w:tcPr>
            <w:tcW w:type="dxa" w:w="32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bCs/>
                <w:color w:val="1F3864"/>
                <w:sz w:val="19"/>
                <w:szCs w:val="19"/>
              </w:rPr>
              <w:t xml:space="preserve">Pilotage par la donnée</w:t>
            </w:r>
          </w:p>
        </w:tc>
        <w:tc>
          <w:tcPr>
            <w:tcW w:type="dxa" w:w="3100"/>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Qualité de la reprise des données</w:t>
            </w:r>
          </w:p>
        </w:tc>
        <w:tc>
          <w:tcPr>
            <w:tcW w:type="dxa" w:w="3338"/>
            <w:tcBorders>
              <w:top w:val="single" w:color="BFC8D6" w:sz="4"/>
              <w:left w:val="single" w:color="BFC8D6" w:sz="4"/>
              <w:bottom w:val="single" w:color="BFC8D6" w:sz="4"/>
              <w:right w:val="single" w:color="BFC8D6" w:sz="4"/>
            </w:tcBorders>
            <w:tcMar>
              <w:top w:type="dxa" w:w="70"/>
              <w:left w:type="dxa" w:w="100"/>
              <w:bottom w:type="dxa" w:w="70"/>
              <w:right w:type="dxa" w:w="100"/>
            </w:tcMar>
            <w:vAlign w:val="center"/>
          </w:tcPr>
          <w:p>
            <w:pPr>
              <w:spacing w:after="40"/>
              <w:jc w:val="left"/>
            </w:pPr>
            <w:r>
              <w:rPr>
                <w:b w:val="false"/>
                <w:bCs w:val="false"/>
                <w:sz w:val="19"/>
                <w:szCs w:val="19"/>
              </w:rPr>
              <w:t xml:space="preserve">Reprise préparée avec la référente</w:t>
            </w:r>
          </w:p>
        </w:tc>
      </w:tr>
      <w:tr>
        <w:trPr>
          <w:cantSplit/>
        </w:trPr>
        <w:tc>
          <w:tcPr>
            <w:tcW w:type="dxa" w:w="32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bCs/>
                <w:color w:val="1F3864"/>
                <w:sz w:val="19"/>
                <w:szCs w:val="19"/>
              </w:rPr>
              <w:t xml:space="preserve">Budget maîtrisé par l'abonnement</w:t>
            </w:r>
          </w:p>
        </w:tc>
        <w:tc>
          <w:tcPr>
            <w:tcW w:type="dxa" w:w="3100"/>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Capacité d'investissement limitée</w:t>
            </w:r>
          </w:p>
        </w:tc>
        <w:tc>
          <w:tcPr>
            <w:tcW w:type="dxa" w:w="3338"/>
            <w:tcBorders>
              <w:top w:val="single" w:color="BFC8D6" w:sz="4"/>
              <w:left w:val="single" w:color="BFC8D6" w:sz="4"/>
              <w:bottom w:val="single" w:color="BFC8D6" w:sz="4"/>
              <w:right w:val="single" w:color="BFC8D6" w:sz="4"/>
            </w:tcBorders>
            <w:shd w:fill="F2F5FA" w:color="auto" w:val="clear"/>
            <w:tcMar>
              <w:top w:type="dxa" w:w="70"/>
              <w:left w:type="dxa" w:w="100"/>
              <w:bottom w:type="dxa" w:w="70"/>
              <w:right w:type="dxa" w:w="100"/>
            </w:tcMar>
            <w:vAlign w:val="center"/>
          </w:tcPr>
          <w:p>
            <w:pPr>
              <w:spacing w:after="40"/>
              <w:jc w:val="left"/>
            </w:pPr>
            <w:r>
              <w:rPr>
                <w:b w:val="false"/>
                <w:bCs w:val="false"/>
                <w:sz w:val="19"/>
                <w:szCs w:val="19"/>
              </w:rPr>
              <w:t xml:space="preserve">Déploiement progressif, aides publiques</w:t>
            </w:r>
          </w:p>
        </w:tc>
      </w:tr>
    </w:tbl>
    <w:p>
      <w:pPr>
        <w:spacing w:after="200" w:before="80"/>
        <w:jc w:val="center"/>
      </w:pPr>
      <w:r>
        <w:rPr>
          <w:i/>
          <w:iCs/>
          <w:color w:val="595959"/>
          <w:sz w:val="18"/>
          <w:szCs w:val="18"/>
        </w:rPr>
        <w:t xml:space="preserve">Tableau 26 – Synthèse des opportunités, des défis et des réponses</w:t>
      </w:r>
    </w:p>
    <w:p>
      <w:pPr>
        <w:pStyle w:val="Heading2"/>
      </w:pPr>
      <w:r>
        <w:t xml:space="preserve">8.5. Recommandations et conditions de réussite</w:t>
      </w:r>
    </w:p>
    <w:p>
      <w:pPr>
        <w:pStyle w:val="ListParagraph"/>
        <w:numPr>
          <w:ilvl w:val="0"/>
          <w:numId w:val="4"/>
        </w:numPr>
        <w:spacing w:after="60"/>
        <w:jc w:val="both"/>
      </w:pPr>
      <w:r>
        <w:rPr>
          <w:b/>
          <w:bCs/>
        </w:rPr>
        <w:t xml:space="preserve">Commencer par la sécurité</w:t>
      </w:r>
      <w:r>
        <w:t xml:space="preserve">, dès novembre 2026 : c'est le risque le plus urgent et la mesure la moins coûteuse.</w:t>
      </w:r>
    </w:p>
    <w:p>
      <w:pPr>
        <w:pStyle w:val="ListParagraph"/>
        <w:numPr>
          <w:ilvl w:val="0"/>
          <w:numId w:val="4"/>
        </w:numPr>
        <w:spacing w:after="60"/>
        <w:jc w:val="both"/>
      </w:pPr>
      <w:r>
        <w:rPr>
          <w:b/>
          <w:bCs/>
        </w:rPr>
        <w:t xml:space="preserve">Faire porter le projet par un co-gérant</w:t>
      </w:r>
      <w:r>
        <w:t xml:space="preserve">, visible et engagé auprès des salariés.</w:t>
      </w:r>
    </w:p>
    <w:p>
      <w:pPr>
        <w:pStyle w:val="ListParagraph"/>
        <w:numPr>
          <w:ilvl w:val="0"/>
          <w:numId w:val="4"/>
        </w:numPr>
        <w:spacing w:after="60"/>
        <w:jc w:val="both"/>
      </w:pPr>
      <w:r>
        <w:rPr>
          <w:b/>
          <w:bCs/>
        </w:rPr>
        <w:t xml:space="preserve">Associer les assistantes dès le premier jour</w:t>
      </w:r>
      <w:r>
        <w:t xml:space="preserve"> et faire de l'une d'elles la référente du SaaS.</w:t>
      </w:r>
    </w:p>
    <w:p>
      <w:pPr>
        <w:pStyle w:val="ListParagraph"/>
        <w:numPr>
          <w:ilvl w:val="0"/>
          <w:numId w:val="4"/>
        </w:numPr>
        <w:spacing w:after="60"/>
        <w:jc w:val="both"/>
      </w:pPr>
      <w:r>
        <w:rPr>
          <w:b/>
          <w:bCs/>
        </w:rPr>
        <w:t xml:space="preserve">Déployer module par module</w:t>
      </w:r>
      <w:r>
        <w:t xml:space="preserve">, en période creuse, avec un test pilote et un mois de fonctionnement en parallèle.</w:t>
      </w:r>
    </w:p>
    <w:p>
      <w:pPr>
        <w:pStyle w:val="ListParagraph"/>
        <w:numPr>
          <w:ilvl w:val="0"/>
          <w:numId w:val="4"/>
        </w:numPr>
        <w:spacing w:after="60"/>
        <w:jc w:val="both"/>
      </w:pPr>
      <w:r>
        <w:rPr>
          <w:b/>
          <w:bCs/>
        </w:rPr>
        <w:t xml:space="preserve">Choisir l'outil sur des critères objectifs</w:t>
      </w:r>
      <w:r>
        <w:t xml:space="preserve"> : simplicité, couverture fonctionnelle, coût total, hébergement en Europe, réversibilité.</w:t>
      </w:r>
    </w:p>
    <w:p>
      <w:pPr>
        <w:pStyle w:val="ListParagraph"/>
        <w:numPr>
          <w:ilvl w:val="0"/>
          <w:numId w:val="4"/>
        </w:numPr>
        <w:spacing w:after="60"/>
        <w:jc w:val="both"/>
      </w:pPr>
      <w:r>
        <w:rPr>
          <w:b/>
          <w:bCs/>
        </w:rPr>
        <w:t xml:space="preserve">Garder l'humain dans la boucle</w:t>
      </w:r>
      <w:r>
        <w:t xml:space="preserve"> pour toutes les factures préparées par l'IA.</w:t>
      </w:r>
    </w:p>
    <w:p>
      <w:pPr>
        <w:pStyle w:val="ListParagraph"/>
        <w:numPr>
          <w:ilvl w:val="0"/>
          <w:numId w:val="4"/>
        </w:numPr>
        <w:spacing w:after="60"/>
        <w:jc w:val="both"/>
      </w:pPr>
      <w:r>
        <w:rPr>
          <w:b/>
          <w:bCs/>
        </w:rPr>
        <w:t xml:space="preserve">Mesurer les résultats</w:t>
      </w:r>
      <w:r>
        <w:t xml:space="preserve"> chaque mois et les partager avec toute l'équipe.</w:t>
      </w:r>
    </w:p>
    <w:p>
      <w:pPr>
        <w:pStyle w:val="ListParagraph"/>
        <w:numPr>
          <w:ilvl w:val="0"/>
          <w:numId w:val="4"/>
        </w:numPr>
        <w:spacing w:after="60"/>
        <w:jc w:val="both"/>
      </w:pPr>
      <w:r>
        <w:rPr>
          <w:b/>
          <w:bCs/>
        </w:rPr>
        <w:t xml:space="preserve">Anticiper la réorganisation du poste</w:t>
      </w:r>
      <w:r>
        <w:t xml:space="preserve"> de manière responsable, en cohérence avec la dimension RSE du projet.</w:t>
      </w:r>
    </w:p>
    <w:p>
      <w:pPr>
        <w:pStyle w:val="Heading2"/>
      </w:pPr>
      <w:r>
        <w:t xml:space="preserve">8.6. Conclusion du rapport</w:t>
      </w:r>
    </w:p>
    <w:p>
      <w:pPr>
        <w:spacing w:after="120" w:before="0"/>
        <w:jc w:val="both"/>
      </w:pPr>
      <w:r>
        <w:t xml:space="preserve">BV2G Transport réunit les conditions d'une transformation numérique réussie : une activité réelle, une équipe resserrée, des processus faciles à identifier et des solutions disponibles à un coût accessible. Le principal enjeu n'est pas technique mais humain : faire évoluer les métiers, en particulier celui d'assistante de direction, sans perdre l'adhésion des équipes. Bien mené, le projet transformera une contrainte (la surcharge administrative et l'échéance de la facture électronique) en avantage concurrentiel durable.</w:t>
      </w:r>
    </w:p>
    <w:p>
      <w:pPr>
        <w:pStyle w:val="Heading1"/>
        <w:pageBreakBefore/>
      </w:pPr>
      <w:r>
        <w:t xml:space="preserve">Conclusion</w:t>
      </w:r>
    </w:p>
    <w:p>
      <w:pPr>
        <w:spacing w:after="120" w:before="0"/>
        <w:jc w:val="both"/>
      </w:pPr>
      <w:r>
        <w:t xml:space="preserve">L'étude de BV2G Transport montre une entreprise dont l'activité fonctionne, mais dont l'organisation administrative est devenue un frein : processus papier, dépendance à deux assistantes, outils cloisonnés et sécurité insuffisante. Le projet que nous proposons, un site internet et un SaaS de gestion, répond à chacune de ces limites. Il digitalise le parcours complet, de la demande du client à l'encaissement, rend les chauffeurs autonomes, sécurise les données et prépare l'entreprise à la facturation électronique obligatoire en septembre 2027.</w:t>
      </w:r>
    </w:p>
    <w:p>
      <w:pPr>
        <w:spacing w:after="120" w:before="0"/>
        <w:jc w:val="both"/>
      </w:pPr>
      <w:r>
        <w:t xml:space="preserve">Sur le plan économique, l'investissement est modeste au regard des gains attendus, principalement liés à la réorganisation du poste d'assistante de direction. Sur le plan humain et RSE, la réussite du projet dépendra de la manière dont ce changement sera conduit : transparence, formation, co-construction, et redéploiement plutôt que suppression.</w:t>
      </w:r>
    </w:p>
    <w:p>
      <w:pPr>
        <w:spacing w:after="120" w:before="0"/>
        <w:jc w:val="both"/>
      </w:pPr>
      <w:r>
        <w:t xml:space="preserve">La prochaine étape de notre travail consistera à rédiger le cahier des charges détaillé et à comparer les solutions du marché, afin de sélectionner l'outil le plus adapté à BV2G Transport.</w:t>
      </w:r>
    </w:p>
    <w:p>
      <w:pPr>
        <w:pStyle w:val="Heading1"/>
        <w:pageBreakBefore/>
      </w:pPr>
      <w:r>
        <w:t xml:space="preserve">Sources</w:t>
      </w:r>
    </w:p>
    <w:p>
      <w:pPr>
        <w:pStyle w:val="ListParagraph"/>
        <w:numPr>
          <w:ilvl w:val="0"/>
          <w:numId w:val="2"/>
        </w:numPr>
        <w:spacing w:after="60"/>
      </w:pPr>
      <w:r>
        <w:rPr>
          <w:sz w:val="20"/>
          <w:szCs w:val="20"/>
        </w:rPr>
        <w:t xml:space="preserve">Annuaire des entreprises (data.gouv.fr), fiche BV2G Transport, SIREN 899 253 058 : https://annuaire-entreprises.data.gouv.fr/entreprise/899253058</w:t>
      </w:r>
    </w:p>
    <w:p>
      <w:pPr>
        <w:pStyle w:val="ListParagraph"/>
        <w:numPr>
          <w:ilvl w:val="0"/>
          <w:numId w:val="2"/>
        </w:numPr>
        <w:spacing w:after="60"/>
      </w:pPr>
      <w:r>
        <w:rPr>
          <w:sz w:val="20"/>
          <w:szCs w:val="20"/>
        </w:rPr>
        <w:t xml:space="preserve">Pappers, informations financières de BV2G Transport : https://www.pappers.fr/entreprise/bv2g-transport-899253058</w:t>
      </w:r>
    </w:p>
    <w:p>
      <w:pPr>
        <w:pStyle w:val="ListParagraph"/>
        <w:numPr>
          <w:ilvl w:val="0"/>
          <w:numId w:val="2"/>
        </w:numPr>
        <w:spacing w:after="60"/>
      </w:pPr>
      <w:r>
        <w:rPr>
          <w:sz w:val="20"/>
          <w:szCs w:val="20"/>
        </w:rPr>
        <w:t xml:space="preserve">Direction générale des Finances publiques, calendrier de la facturation électronique : https://www.impots.gouv.fr/professionnel/je-passe-la-facturation-electronique</w:t>
      </w:r>
    </w:p>
    <w:p>
      <w:pPr>
        <w:pStyle w:val="ListParagraph"/>
        <w:numPr>
          <w:ilvl w:val="0"/>
          <w:numId w:val="2"/>
        </w:numPr>
        <w:spacing w:after="60"/>
      </w:pPr>
      <w:r>
        <w:rPr>
          <w:sz w:val="20"/>
          <w:szCs w:val="20"/>
        </w:rPr>
        <w:t xml:space="preserve">Code des transports, articles L1431-3 (information CO2) et L3222-1 et suivants (indexation gazole) ; Code de commerce, article L441-11 (délais de paiement) : https://www.legifrance.gouv.fr</w:t>
      </w:r>
    </w:p>
    <w:p>
      <w:pPr>
        <w:pStyle w:val="ListParagraph"/>
        <w:numPr>
          <w:ilvl w:val="0"/>
          <w:numId w:val="2"/>
        </w:numPr>
        <w:spacing w:after="60"/>
      </w:pPr>
      <w:r>
        <w:rPr>
          <w:sz w:val="20"/>
          <w:szCs w:val="20"/>
        </w:rPr>
        <w:t xml:space="preserve">Comité national routier (CNR), indices gazole : https://www.cnr.fr</w:t>
      </w:r>
    </w:p>
    <w:p>
      <w:pPr>
        <w:pStyle w:val="ListParagraph"/>
        <w:numPr>
          <w:ilvl w:val="0"/>
          <w:numId w:val="2"/>
        </w:numPr>
        <w:spacing w:after="60"/>
      </w:pPr>
      <w:r>
        <w:rPr>
          <w:sz w:val="20"/>
          <w:szCs w:val="20"/>
        </w:rPr>
        <w:t xml:space="preserve">Protocole additionnel à la Convention CMR (e-CMR) ; règlement (UE) 2020/1056 (eFTI).</w:t>
      </w:r>
    </w:p>
    <w:p>
      <w:pPr>
        <w:pStyle w:val="ListParagraph"/>
        <w:numPr>
          <w:ilvl w:val="0"/>
          <w:numId w:val="2"/>
        </w:numPr>
        <w:spacing w:after="60"/>
      </w:pPr>
      <w:r>
        <w:rPr>
          <w:sz w:val="20"/>
          <w:szCs w:val="20"/>
        </w:rPr>
        <w:t xml:space="preserve">CNIL, la géolocalisation des véhicules des salariés : https://www.cnil.fr</w:t>
      </w:r>
    </w:p>
    <w:p>
      <w:pPr>
        <w:pStyle w:val="ListParagraph"/>
        <w:numPr>
          <w:ilvl w:val="0"/>
          <w:numId w:val="2"/>
        </w:numPr>
        <w:spacing w:after="60"/>
      </w:pPr>
      <w:r>
        <w:rPr>
          <w:sz w:val="20"/>
          <w:szCs w:val="20"/>
        </w:rPr>
        <w:t xml:space="preserve">Cybermalveillance.gouv.fr, ressources de sensibilisation : https://www.cybermalveillance.gouv.fr</w:t>
      </w:r>
    </w:p>
    <w:p>
      <w:pPr>
        <w:pStyle w:val="ListParagraph"/>
        <w:numPr>
          <w:ilvl w:val="0"/>
          <w:numId w:val="2"/>
        </w:numPr>
        <w:spacing w:after="60"/>
      </w:pPr>
      <w:r>
        <w:rPr>
          <w:sz w:val="20"/>
          <w:szCs w:val="20"/>
        </w:rPr>
        <w:t xml:space="preserve">France Num, Baromètre France Num 2025, septembre 2025.</w:t>
      </w:r>
    </w:p>
    <w:p>
      <w:pPr>
        <w:pStyle w:val="ListParagraph"/>
        <w:numPr>
          <w:ilvl w:val="0"/>
          <w:numId w:val="2"/>
        </w:numPr>
        <w:spacing w:after="60"/>
      </w:pPr>
      <w:r>
        <w:rPr>
          <w:sz w:val="20"/>
          <w:szCs w:val="20"/>
        </w:rPr>
        <w:t xml:space="preserve">ADEME et Arcep, évaluation de l'impact environnemental du numérique en France, novembre 2024.</w:t>
      </w:r>
    </w:p>
    <w:p>
      <w:pPr>
        <w:pStyle w:val="ListParagraph"/>
        <w:numPr>
          <w:ilvl w:val="0"/>
          <w:numId w:val="2"/>
        </w:numPr>
        <w:spacing w:after="60"/>
      </w:pPr>
      <w:r>
        <w:rPr>
          <w:sz w:val="20"/>
          <w:szCs w:val="20"/>
        </w:rPr>
        <w:t xml:space="preserve">ADEME, programme Objectif CO2 pour les transporteurs routiers.</w:t>
      </w:r>
    </w:p>
    <w:p>
      <w:pPr>
        <w:pStyle w:val="ListParagraph"/>
        <w:numPr>
          <w:ilvl w:val="0"/>
          <w:numId w:val="2"/>
        </w:numPr>
        <w:spacing w:after="60"/>
      </w:pPr>
      <w:r>
        <w:rPr>
          <w:sz w:val="20"/>
          <w:szCs w:val="20"/>
        </w:rPr>
        <w:t xml:space="preserve">Loi n° 2021-1485 du 15 novembre 2021 visant à réduire l'empreinte environnementale du numérique (loi REEN).</w:t>
      </w:r>
    </w:p>
    <w:p>
      <w:pPr>
        <w:pStyle w:val="ListParagraph"/>
        <w:numPr>
          <w:ilvl w:val="0"/>
          <w:numId w:val="2"/>
        </w:numPr>
        <w:spacing w:after="60"/>
      </w:pPr>
      <w:r>
        <w:rPr>
          <w:sz w:val="20"/>
          <w:szCs w:val="20"/>
        </w:rPr>
        <w:t xml:space="preserve">Ministère de la Transition écologique, Chiffres clés du climat.</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tabs>
        <w:tab w:val="right" w:pos="9638"/>
      </w:tabs>
    </w:pPr>
    <w:r>
      <w:rPr>
        <w:color w:val="7F7F7F"/>
        <w:sz w:val="16"/>
        <w:szCs w:val="16"/>
      </w:rPr>
      <w:t xml:space="preserve">BUT GEA 3 – IUT de Valence</w:t>
    </w:r>
    <w:r>
      <w:rPr>
        <w:color w:val="7F7F7F"/>
        <w:sz w:val="16"/>
        <w:szCs w:val="16"/>
      </w:rPr>
      <w:t xml:space="preserve">	Page </w:t>
    </w:r>
    <w:r>
      <w:rPr>
        <w:color w:val="7F7F7F"/>
        <w:sz w:val="16"/>
        <w:szCs w:val="16"/>
      </w:rPr>
      <w:fldChar w:fldCharType="begin"/>
      <w:instrText xml:space="preserve">PAGE</w:instrText>
      <w:fldChar w:fldCharType="separate"/>
      <w:fldChar w:fldCharType="end"/>
    </w:r>
    <w:r>
      <w:rPr>
        <w:color w:val="7F7F7F"/>
        <w:sz w:val="16"/>
        <w:szCs w:val="16"/>
      </w:rPr>
      <w:t xml:space="preserve"> sur </w:t>
    </w:r>
    <w:r>
      <w:rPr>
        <w:color w:val="7F7F7F"/>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6"/>
          <w:szCs w:val="16"/>
        </w:rPr>
        <w:t xml:space="preserve">Annuaire des entreprises (annuaire-entreprises.data.gouv.fr), fiche BV2G Transport, SIREN 899 253 058.</w:t>
      </w:r>
    </w:p>
  </w:footnote>
  <w:footnote w:id="2">
    <w:p>
      <w:r>
        <w:rPr>
          <w:rStyle w:val="FootnoteReference"/>
        </w:rPr>
        <w:footnoteRef/>
      </w:r>
      <w:r>
        <w:rPr>
          <w:sz w:val="16"/>
          <w:szCs w:val="16"/>
        </w:rPr>
        <w:t xml:space="preserve">Ministère de la Transition écologique, Chiffres clés du climat : les transports sont le premier secteur émetteur de gaz à effet de serre en France.</w:t>
      </w:r>
    </w:p>
  </w:footnote>
  <w:footnote w:id="3">
    <w:p>
      <w:r>
        <w:rPr>
          <w:rStyle w:val="FootnoteReference"/>
        </w:rPr>
        <w:footnoteRef/>
      </w:r>
      <w:r>
        <w:rPr>
          <w:sz w:val="16"/>
          <w:szCs w:val="16"/>
        </w:rPr>
        <w:t xml:space="preserve">Code des transports, article L1431-3 : toute personne qui commercialise ou organise une prestation de transport doit informer le bénéficiaire de la quantité de gaz à effet de serre émise à l'occasion de cette prestation.</w:t>
      </w:r>
    </w:p>
  </w:footnote>
  <w:footnote w:id="4">
    <w:p>
      <w:r>
        <w:rPr>
          <w:rStyle w:val="FootnoteReference"/>
        </w:rPr>
        <w:footnoteRef/>
      </w:r>
      <w:r>
        <w:rPr>
          <w:sz w:val="16"/>
          <w:szCs w:val="16"/>
        </w:rPr>
        <w:t xml:space="preserve">DGFiP, calendrier de la réforme de la facturation électronique (impots.gouv.fr) : toutes les entreprises assujetties à la TVA doivent pouvoir recevoir des factures électroniques depuis le 1er septembre 2026 ; les PME et micro-entreprises devront les émettre à partir du 1er septembre 2027.</w:t>
      </w:r>
    </w:p>
  </w:footnote>
  <w:footnote w:id="5">
    <w:p>
      <w:r>
        <w:rPr>
          <w:rStyle w:val="FootnoteReference"/>
        </w:rPr>
        <w:footnoteRef/>
      </w:r>
      <w:r>
        <w:rPr>
          <w:sz w:val="16"/>
          <w:szCs w:val="16"/>
        </w:rPr>
        <w:t xml:space="preserve">Code des transports, articles L3222-1 et suivants : le prix du transport est révisé de plein droit pour tenir compte de la variation du coût du carburant. Les indices de référence sont publiés chaque mois par le Comité national routier (cnr.fr).</w:t>
      </w:r>
    </w:p>
  </w:footnote>
  <w:footnote w:id="6">
    <w:p>
      <w:r>
        <w:rPr>
          <w:rStyle w:val="FootnoteReference"/>
        </w:rPr>
        <w:footnoteRef/>
      </w:r>
      <w:r>
        <w:rPr>
          <w:sz w:val="16"/>
          <w:szCs w:val="16"/>
        </w:rPr>
        <w:t xml:space="preserve">Protocole additionnel à la Convention CMR concernant la lettre de voiture électronique (e-CMR), auquel la France a adhéré ; règlement (UE) 2020/1056 relatif aux informations électroniques sur le transport de marchandises (eFTI).</w:t>
      </w:r>
    </w:p>
  </w:footnote>
  <w:footnote w:id="7">
    <w:p>
      <w:r>
        <w:rPr>
          <w:rStyle w:val="FootnoteReference"/>
        </w:rPr>
        <w:footnoteRef/>
      </w:r>
      <w:r>
        <w:rPr>
          <w:sz w:val="16"/>
          <w:szCs w:val="16"/>
        </w:rPr>
        <w:t xml:space="preserve">Annuaire des entreprises (annuaire-entreprises.data.gouv.fr), fiche BV2G Transport, SIREN 899 253 058.</w:t>
      </w:r>
    </w:p>
  </w:footnote>
  <w:footnote w:id="8">
    <w:p>
      <w:r>
        <w:rPr>
          <w:rStyle w:val="FootnoteReference"/>
        </w:rPr>
        <w:footnoteRef/>
      </w:r>
      <w:r>
        <w:rPr>
          <w:sz w:val="16"/>
          <w:szCs w:val="16"/>
        </w:rPr>
        <w:t xml:space="preserve">Code des transports, article L1431-3 : toute personne qui commercialise ou organise une prestation de transport doit informer le bénéficiaire de la quantité de gaz à effet de serre émise à l'occasion de cette prestation.</w:t>
      </w:r>
    </w:p>
  </w:footnote>
  <w:footnote w:id="9">
    <w:p>
      <w:r>
        <w:rPr>
          <w:rStyle w:val="FootnoteReference"/>
        </w:rPr>
        <w:footnoteRef/>
      </w:r>
      <w:r>
        <w:rPr>
          <w:sz w:val="16"/>
          <w:szCs w:val="16"/>
        </w:rPr>
        <w:t xml:space="preserve">CNIL, « La géolocalisation des véhicules des salariés » (cnil.fr).</w:t>
      </w:r>
    </w:p>
  </w:footnote>
  <w:footnote w:id="10">
    <w:p>
      <w:r>
        <w:rPr>
          <w:rStyle w:val="FootnoteReference"/>
        </w:rPr>
        <w:footnoteRef/>
      </w:r>
      <w:r>
        <w:rPr>
          <w:sz w:val="16"/>
          <w:szCs w:val="16"/>
        </w:rPr>
        <w:t xml:space="preserve">Code de commerce, article L441-11 : pour le transport routier de marchandises, le délai de paiement convenu ne peut dépasser trente jours à compter de la date d'émission de la facture.</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8D6" w:sz="4" w:space="4"/>
      </w:pBdr>
      <w:tabs>
        <w:tab w:val="right" w:pos="9638"/>
      </w:tabs>
    </w:pPr>
    <w:r>
      <w:rPr>
        <w:color w:val="7F7F7F"/>
        <w:sz w:val="16"/>
        <w:szCs w:val="16"/>
      </w:rPr>
      <w:t xml:space="preserve">SAÉ 5.01 – Transformation numérique</w:t>
    </w:r>
    <w:r>
      <w:rPr>
        <w:color w:val="7F7F7F"/>
        <w:sz w:val="16"/>
        <w:szCs w:val="16"/>
      </w:rPr>
      <w:t xml:space="preserve">	BV2G Transport – Séances 2 et 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E75B6"/>
      </w:r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bullet"/>
      <w:lvlText w:val="•"/>
      <w:lvlJc w:val="left"/>
      <w:pPr>
        <w:ind w:left="240" w:hanging="200"/>
      </w:pPr>
    </w:lvl>
  </w:abstractNum>
  <w:abstractNum w:abstractNumId="4" w15:restartNumberingAfterBreak="0">
    <w:multiLevelType w:val="hybridMultilevel"/>
    <w:lvl w:ilvl="0" w15:tentative="1">
      <w:start w:val="1"/>
      <w:numFmt w:val="decimal"/>
      <w:lvlText w:val="%1."/>
      <w:lvlJc w:val="left"/>
      <w:pPr>
        <w:ind w:left="540" w:hanging="340"/>
      </w:pPr>
      <w:rPr>
        <w:b/>
        <w:bCs/>
        <w:color w:val="1F386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pBdr>
        <w:bottom w:val="single" w:color="2E75B6" w:sz="8" w:space="6"/>
      </w:pBdr>
      <w:spacing w:after="240" w:before="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pPr>
    <w:rPr>
      <w:rFonts w:ascii="Calibri" w:cs="Calibri" w:eastAsia="Calibri" w:hAnsi="Calibri"/>
      <w:b/>
      <w:bCs/>
      <w:color w:val="2E75B6"/>
      <w:sz w:val="26"/>
      <w:szCs w:val="26"/>
    </w:rPr>
  </w:style>
  <w:style w:type="paragraph" w:styleId="Heading3">
    <w:name w:val="Heading 3"/>
    <w:basedOn w:val="Normal"/>
    <w:next w:val="Normal"/>
    <w:qFormat/>
    <w:pPr>
      <w:keepNext/>
      <w:spacing w:after="80" w:before="200"/>
    </w:pPr>
    <w:rPr>
      <w:rFonts w:ascii="Calibri" w:cs="Calibri" w:eastAsia="Calibri" w:hAnsi="Calibri"/>
      <w:b/>
      <w:bCs/>
      <w:color w:val="1F386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
    <w:name w:val="footer"/>
    <w:basedOn w:val="Normal"/>
    <w:rPr>
      <w:color w:val="7F7F7F"/>
      <w:sz w:val="16"/>
      <w:szCs w:val="16"/>
    </w:rPr>
  </w:style>
  <w:style w:type="paragraph" w:styleId="TOC1">
    <w:name w:val="toc 1"/>
    <w:basedOn w:val="Normal"/>
    <w:next w:val="Normal"/>
    <w:pPr>
      <w:spacing w:after="0" w:before="90" w:line="240" w:lineRule="auto"/>
    </w:pPr>
    <w:rPr>
      <w:b/>
      <w:bCs/>
      <w:color w:val="1F3864"/>
      <w:sz w:val="21"/>
      <w:szCs w:val="21"/>
    </w:rPr>
  </w:style>
  <w:style w:type="paragraph" w:styleId="TOC2">
    <w:name w:val="toc 2"/>
    <w:basedOn w:val="Normal"/>
    <w:next w:val="Normal"/>
    <w:pPr>
      <w:spacing w:after="0" w:before="0" w:line="240" w:lineRule="auto"/>
      <w:ind w:left="360"/>
    </w:pPr>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0b989c19e7065fa46d7d1caf7835e241a8ae543.png"/><Relationship Id="rId12" Type="http://schemas.openxmlformats.org/officeDocument/2006/relationships/image" Target="media/01decc0d72a023b9bacb20beca30031876afda7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SAÉ 5.01 – BV2G Transport – Séances 2 et 3</dc:title>
  <dc:creator>Groupe SAÉ 5.01 – BUT GEA 3</dc:creator>
  <dc:description>Étude de l'organisation et planification stratégique du projet de transformation numérique</dc:description>
  <cp:lastModifiedBy>Un-named</cp:lastModifiedBy>
  <cp:revision>1</cp:revision>
  <dcterms:created xsi:type="dcterms:W3CDTF">2026-10-23T09:46:28.616Z</dcterms:created>
  <dcterms:modified xsi:type="dcterms:W3CDTF">2026-10-23T09:46:28.616Z</dcterms:modified>
</cp:coreProperties>
</file>

<file path=docProps/custom.xml><?xml version="1.0" encoding="utf-8"?>
<Properties xmlns="http://schemas.openxmlformats.org/officeDocument/2006/custom-properties" xmlns:vt="http://schemas.openxmlformats.org/officeDocument/2006/docPropsVTypes"/>
</file>