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02"/>
        <w:gridCol w:w="3635"/>
        <w:gridCol w:w="7673"/>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trPr>
        <w:tc>
          <w:tcPr>
            <w:tcW w:w="2602" w:type="dxa"/>
            <w:vAlign w:val="center"/>
          </w:tcPr>
          <w:p>
            <w:pPr>
              <w:jc w:val="center"/>
              <w:rPr>
                <w:rFonts w:hint="eastAsia" w:eastAsiaTheme="minorEastAsia"/>
                <w:b/>
                <w:bCs/>
                <w:vertAlign w:val="baseline"/>
                <w:lang w:val="en-US" w:eastAsia="zh-CN"/>
              </w:rPr>
            </w:pPr>
            <w:r>
              <w:rPr>
                <w:rFonts w:hint="eastAsia"/>
                <w:b/>
                <w:bCs/>
                <w:sz w:val="21"/>
                <w:szCs w:val="21"/>
                <w:vertAlign w:val="baseline"/>
                <w:lang w:val="en-US" w:eastAsia="zh-CN"/>
              </w:rPr>
              <w:t>文章信息</w:t>
            </w:r>
          </w:p>
        </w:tc>
        <w:tc>
          <w:tcPr>
            <w:tcW w:w="3635"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摘要及贡献</w:t>
            </w:r>
          </w:p>
        </w:tc>
        <w:tc>
          <w:tcPr>
            <w:tcW w:w="7673"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动机及方法概述</w:t>
            </w:r>
          </w:p>
        </w:tc>
        <w:tc>
          <w:tcPr>
            <w:tcW w:w="7082" w:type="dxa"/>
            <w:vAlign w:val="center"/>
          </w:tcPr>
          <w:p>
            <w:pPr>
              <w:jc w:val="center"/>
              <w:rPr>
                <w:rFonts w:hint="eastAsia" w:eastAsiaTheme="minorEastAsia"/>
                <w:b/>
                <w:bCs/>
                <w:vertAlign w:val="baseline"/>
                <w:lang w:val="en-US" w:eastAsia="zh-CN"/>
              </w:rPr>
            </w:pPr>
            <w:r>
              <w:rPr>
                <w:rFonts w:hint="eastAsia"/>
                <w:b/>
                <w:bCs/>
                <w:vertAlign w:val="baseline"/>
                <w:lang w:val="en-US" w:eastAsia="zh-CN"/>
              </w:rPr>
              <w:t>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278" w:hRule="atLeast"/>
        </w:trPr>
        <w:tc>
          <w:tcPr>
            <w:tcW w:w="2602" w:type="dxa"/>
          </w:tcPr>
          <w:p>
            <w:pPr>
              <w:jc w:val="left"/>
              <w:rPr>
                <w:rFonts w:hint="eastAsia"/>
                <w:sz w:val="21"/>
                <w:szCs w:val="21"/>
                <w:vertAlign w:val="baseline"/>
                <w:lang w:val="en-US" w:eastAsia="zh-CN"/>
              </w:rPr>
            </w:pPr>
            <w:r>
              <w:rPr>
                <w:rFonts w:hint="eastAsia"/>
                <w:b/>
                <w:bCs/>
                <w:sz w:val="21"/>
                <w:szCs w:val="21"/>
                <w:vertAlign w:val="baseline"/>
                <w:lang w:val="en-US" w:eastAsia="zh-CN"/>
              </w:rPr>
              <w:t>阅读程度</w:t>
            </w:r>
            <w:r>
              <w:rPr>
                <w:rFonts w:hint="eastAsia"/>
                <w:sz w:val="21"/>
                <w:szCs w:val="21"/>
                <w:vertAlign w:val="baseline"/>
                <w:lang w:val="en-US" w:eastAsia="zh-CN"/>
              </w:rPr>
              <w:t>：</w:t>
            </w:r>
          </w:p>
          <w:p>
            <w:pPr>
              <w:jc w:val="left"/>
              <w:rPr>
                <w:rFonts w:hint="eastAsia"/>
                <w:sz w:val="21"/>
                <w:szCs w:val="21"/>
                <w:vertAlign w:val="baseline"/>
                <w:lang w:val="en-US" w:eastAsia="zh-CN"/>
              </w:rPr>
            </w:pPr>
            <w:r>
              <w:rPr>
                <w:rFonts w:hint="eastAsia"/>
                <w:sz w:val="21"/>
                <w:szCs w:val="21"/>
                <w:vertAlign w:val="baseline"/>
                <w:lang w:val="en-US" w:eastAsia="zh-CN"/>
              </w:rPr>
              <w:t>方法实验精读</w:t>
            </w:r>
          </w:p>
          <w:p>
            <w:pPr>
              <w:jc w:val="left"/>
              <w:rPr>
                <w:rFonts w:hint="eastAsia"/>
                <w:b/>
                <w:bCs/>
                <w:sz w:val="21"/>
                <w:szCs w:val="21"/>
                <w:vertAlign w:val="baseline"/>
                <w:lang w:val="en-US" w:eastAsia="zh-CN"/>
              </w:rPr>
            </w:pPr>
            <w:r>
              <w:rPr>
                <w:rFonts w:hint="eastAsia"/>
                <w:b/>
                <w:bCs/>
                <w:sz w:val="21"/>
                <w:szCs w:val="21"/>
                <w:vertAlign w:val="baseline"/>
                <w:lang w:val="en-US" w:eastAsia="zh-CN"/>
              </w:rPr>
              <w:t>文章标题：</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Unsupervised Embedding Learning via Invariant and Spreading</w:t>
            </w:r>
            <w:r>
              <w:rPr>
                <w:rFonts w:hint="eastAsia" w:ascii="Times New Roman" w:hAnsi="Times New Roman" w:cs="Times New Roman"/>
                <w:sz w:val="21"/>
                <w:szCs w:val="21"/>
                <w:vertAlign w:val="baseline"/>
                <w:lang w:val="en-US" w:eastAsia="zh-CN"/>
              </w:rPr>
              <w:t xml:space="preserve"> </w:t>
            </w:r>
            <w:r>
              <w:rPr>
                <w:rFonts w:hint="default" w:ascii="Times New Roman" w:hAnsi="Times New Roman" w:cs="Times New Roman"/>
                <w:sz w:val="21"/>
                <w:szCs w:val="21"/>
                <w:vertAlign w:val="baseline"/>
                <w:lang w:val="en-US" w:eastAsia="zh-CN"/>
              </w:rPr>
              <w:t>Instance Feature</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中文标题：</w:t>
            </w:r>
          </w:p>
          <w:p>
            <w:p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通过不变性与分散实例特征进行无监督编码学习</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CVPR2019</w:t>
            </w:r>
          </w:p>
          <w:p>
            <w:pPr>
              <w:jc w:val="left"/>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作者：</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Mang Ye</w:t>
            </w:r>
          </w:p>
          <w:p>
            <w:pPr>
              <w:jc w:val="left"/>
              <w:rPr>
                <w:rFonts w:hint="eastAsia" w:ascii="Times New Roman" w:hAnsi="Times New Roman" w:eastAsia="NimbusRomNo9L-Regu" w:cs="Times New Roman"/>
                <w:b/>
                <w:bCs/>
                <w:color w:val="000000"/>
                <w:kern w:val="0"/>
                <w:sz w:val="21"/>
                <w:szCs w:val="21"/>
                <w:lang w:val="en-US" w:eastAsia="zh-CN" w:bidi="ar"/>
              </w:rPr>
            </w:pPr>
            <w:r>
              <w:rPr>
                <w:rFonts w:hint="eastAsia"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bCs/>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Hong Kong Baptist University</w:t>
            </w:r>
          </w:p>
        </w:tc>
        <w:tc>
          <w:tcPr>
            <w:tcW w:w="3635" w:type="dxa"/>
          </w:tcPr>
          <w:p>
            <w:pPr>
              <w:ind w:firstLine="420" w:firstLineChars="200"/>
              <w:jc w:val="both"/>
              <w:rPr>
                <w:rFonts w:hint="eastAsia" w:ascii="Times New Roman" w:hAnsi="Times New Roman" w:cs="Times New Roman"/>
                <w:sz w:val="21"/>
                <w:szCs w:val="21"/>
                <w:vertAlign w:val="baseline"/>
                <w:lang w:val="en-US" w:eastAsia="zh-CN"/>
              </w:rPr>
            </w:pPr>
            <w:r>
              <w:rPr>
                <w:rFonts w:hint="eastAsia"/>
                <w:vertAlign w:val="baseline"/>
                <w:lang w:val="en-US" w:eastAsia="zh-CN"/>
              </w:rPr>
              <w:t>本文研究</w:t>
            </w:r>
            <w:r>
              <w:rPr>
                <w:rFonts w:hint="default" w:ascii="Times New Roman" w:hAnsi="Times New Roman" w:cs="Times New Roman"/>
                <w:sz w:val="21"/>
                <w:szCs w:val="21"/>
                <w:vertAlign w:val="baseline"/>
                <w:lang w:val="en-US" w:eastAsia="zh-CN"/>
              </w:rPr>
              <w:t>Unsupervised Embedding Learning</w:t>
            </w:r>
            <w:r>
              <w:rPr>
                <w:rFonts w:hint="eastAsia" w:ascii="Times New Roman" w:hAnsi="Times New Roman" w:cs="Times New Roman"/>
                <w:sz w:val="21"/>
                <w:szCs w:val="21"/>
                <w:vertAlign w:val="baseline"/>
                <w:lang w:val="en-US" w:eastAsia="zh-CN"/>
              </w:rPr>
              <w:t>问题，这个问题的研究需要在低位空间为样本提供一个有效的相似性度量。</w:t>
            </w:r>
          </w:p>
          <w:p>
            <w:pPr>
              <w:ind w:firstLine="420" w:firstLineChars="200"/>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基于从类别监督学习中观察到的正集中和负分离属性，我们建议利用实例监督来近似这些属性，目的是学习数据增强不变性和实例分离特征。</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为了实现这一目标，我们提出了一种新的基于实例的</w:t>
            </w:r>
            <w:r>
              <w:rPr>
                <w:rFonts w:hint="eastAsia" w:ascii="Times New Roman" w:hAnsi="Times New Roman" w:cs="Times New Roman"/>
                <w:sz w:val="21"/>
                <w:szCs w:val="21"/>
                <w:vertAlign w:val="baseline"/>
                <w:lang w:val="en-US" w:eastAsia="zh-CN"/>
              </w:rPr>
              <w:t>soft</w:t>
            </w:r>
            <w:r>
              <w:rPr>
                <w:rFonts w:hint="default" w:ascii="Times New Roman" w:hAnsi="Times New Roman" w:cs="Times New Roman"/>
                <w:sz w:val="21"/>
                <w:szCs w:val="21"/>
                <w:vertAlign w:val="baseline"/>
                <w:lang w:val="en-US" w:eastAsia="zh-CN"/>
              </w:rPr>
              <w:t>max嵌入方法，在softmax函数之上直接优化“真实”实例特征。</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与所有现有的方法相比，它获得了明显更快的学习速度和更高的准确性。</w:t>
            </w:r>
          </w:p>
          <w:p>
            <w:pPr>
              <w:ind w:firstLine="420" w:firstLineChars="200"/>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该方法</w:t>
            </w:r>
            <w:r>
              <w:rPr>
                <w:rFonts w:hint="eastAsia" w:ascii="Times New Roman" w:hAnsi="Times New Roman" w:cs="Times New Roman"/>
                <w:sz w:val="21"/>
                <w:szCs w:val="21"/>
                <w:vertAlign w:val="baseline"/>
                <w:lang w:val="en-US" w:eastAsia="zh-CN"/>
              </w:rPr>
              <w:t>在</w:t>
            </w:r>
            <w:r>
              <w:rPr>
                <w:rFonts w:hint="default" w:ascii="Times New Roman" w:hAnsi="Times New Roman" w:cs="Times New Roman"/>
                <w:sz w:val="21"/>
                <w:szCs w:val="21"/>
                <w:vertAlign w:val="baseline"/>
                <w:lang w:val="en-US" w:eastAsia="zh-CN"/>
              </w:rPr>
              <w:t>余弦相似度</w:t>
            </w:r>
            <w:r>
              <w:rPr>
                <w:rFonts w:hint="eastAsia" w:ascii="Times New Roman" w:hAnsi="Times New Roman" w:cs="Times New Roman"/>
                <w:sz w:val="21"/>
                <w:szCs w:val="21"/>
                <w:vertAlign w:val="baseline"/>
                <w:lang w:val="en-US" w:eastAsia="zh-CN"/>
              </w:rPr>
              <w:t>层面对见过</w:t>
            </w:r>
            <w:r>
              <w:rPr>
                <w:rFonts w:hint="default" w:ascii="Times New Roman" w:hAnsi="Times New Roman" w:cs="Times New Roman"/>
                <w:sz w:val="21"/>
                <w:szCs w:val="21"/>
                <w:vertAlign w:val="baseline"/>
                <w:lang w:val="en-US" w:eastAsia="zh-CN"/>
              </w:rPr>
              <w:t>和</w:t>
            </w:r>
            <w:r>
              <w:rPr>
                <w:rFonts w:hint="eastAsia" w:ascii="Times New Roman" w:hAnsi="Times New Roman" w:cs="Times New Roman"/>
                <w:sz w:val="21"/>
                <w:szCs w:val="21"/>
                <w:vertAlign w:val="baseline"/>
                <w:lang w:val="en-US" w:eastAsia="zh-CN"/>
              </w:rPr>
              <w:t>未见过的</w:t>
            </w:r>
            <w:r>
              <w:rPr>
                <w:rFonts w:hint="default" w:ascii="Times New Roman" w:hAnsi="Times New Roman" w:cs="Times New Roman"/>
                <w:sz w:val="21"/>
                <w:szCs w:val="21"/>
                <w:vertAlign w:val="baseline"/>
                <w:lang w:val="en-US" w:eastAsia="zh-CN"/>
              </w:rPr>
              <w:t>测试类别均表现良好</w:t>
            </w:r>
            <w:r>
              <w:rPr>
                <w:rFonts w:hint="eastAsia" w:ascii="Times New Roman" w:hAnsi="Times New Roman" w:cs="Times New Roman"/>
                <w:sz w:val="21"/>
                <w:szCs w:val="21"/>
                <w:vertAlign w:val="baseline"/>
                <w:lang w:val="en-US" w:eastAsia="zh-CN"/>
              </w:rPr>
              <w:t>。</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即使没有经过预先训练的网络，对于来自细粒度类别的样本，它也能获得具有竞争力的性能。</w:t>
            </w:r>
          </w:p>
          <w:p>
            <w:pPr>
              <w:jc w:val="both"/>
              <w:rPr>
                <w:rFonts w:hint="default" w:ascii="Times New Roman" w:hAnsi="Times New Roman" w:cs="Times New Roman"/>
                <w:sz w:val="21"/>
                <w:szCs w:val="21"/>
                <w:vertAlign w:val="baseline"/>
                <w:lang w:val="en-US" w:eastAsia="zh-CN"/>
              </w:rPr>
            </w:pPr>
          </w:p>
          <w:p>
            <w:pPr>
              <w:ind w:firstLine="420" w:firstLineChars="200"/>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我们提出了一种新的基于实例特征的</w:t>
            </w:r>
            <w:r>
              <w:rPr>
                <w:rFonts w:hint="eastAsia" w:ascii="Times New Roman" w:hAnsi="Times New Roman" w:cs="Times New Roman"/>
                <w:sz w:val="21"/>
                <w:szCs w:val="21"/>
                <w:vertAlign w:val="baseline"/>
                <w:lang w:val="en-US" w:eastAsia="zh-CN"/>
              </w:rPr>
              <w:t>softmax</w:t>
            </w:r>
            <w:r>
              <w:rPr>
                <w:rFonts w:hint="default" w:ascii="Times New Roman" w:hAnsi="Times New Roman" w:cs="Times New Roman"/>
                <w:sz w:val="21"/>
                <w:szCs w:val="21"/>
                <w:vertAlign w:val="baseline"/>
                <w:lang w:val="en-US" w:eastAsia="zh-CN"/>
              </w:rPr>
              <w:t>嵌入方法来学习数据增强不变特征和实例扩展特征。与所有竞争方法相比，它获得了显著更快的学习速度和更高的准确性</w:t>
            </w:r>
            <w:r>
              <w:rPr>
                <w:rFonts w:hint="eastAsia" w:ascii="Times New Roman" w:hAnsi="Times New Roman" w:cs="Times New Roman"/>
                <w:sz w:val="21"/>
                <w:szCs w:val="21"/>
                <w:vertAlign w:val="baseline"/>
                <w:lang w:val="en-US" w:eastAsia="zh-CN"/>
              </w:rPr>
              <w:t>。</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我们证明了数据增强不变性和实例扩展属性对于实例级无监督嵌入学习都是重要的。它们有助于捕获样本之间明显的视觉相似性，并很好地概括了不可见的测试类别。</w:t>
            </w:r>
          </w:p>
          <w:p>
            <w:pPr>
              <w:ind w:firstLine="420" w:firstLineChars="2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在综合图像分类和嵌入学习实验中，该方法取得了比其他无监督学习方法更先进的性能。</w:t>
            </w:r>
          </w:p>
        </w:tc>
        <w:tc>
          <w:tcPr>
            <w:tcW w:w="7673" w:type="dxa"/>
          </w:tcPr>
          <w:p>
            <w:pPr>
              <w:jc w:val="both"/>
            </w:pPr>
            <w:r>
              <w:drawing>
                <wp:inline distT="0" distB="0" distL="114300" distR="114300">
                  <wp:extent cx="2326005" cy="912495"/>
                  <wp:effectExtent l="0" t="0" r="171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326005" cy="912495"/>
                          </a:xfrm>
                          <a:prstGeom prst="rect">
                            <a:avLst/>
                          </a:prstGeom>
                          <a:noFill/>
                          <a:ln>
                            <a:noFill/>
                          </a:ln>
                        </pic:spPr>
                      </pic:pic>
                    </a:graphicData>
                  </a:graphic>
                </wp:inline>
              </w:drawing>
            </w:r>
          </w:p>
          <w:p>
            <w:pPr>
              <w:ind w:firstLine="420" w:firstLineChars="200"/>
              <w:jc w:val="both"/>
              <w:rPr>
                <w:rFonts w:hint="eastAsia" w:eastAsiaTheme="minorEastAsia"/>
                <w:lang w:val="en-US" w:eastAsia="zh-CN"/>
              </w:rPr>
            </w:pPr>
            <w:r>
              <w:rPr>
                <w:rFonts w:hint="eastAsia"/>
                <w:lang w:val="en-US" w:eastAsia="zh-CN"/>
              </w:rPr>
              <w:t>一个传统CNN分类器具有以下特性：正集中，属于同一类别的样本的嵌入特征相互接近。负分离，尽可能地分离属于不同类别的样本的嵌入特征。</w:t>
            </w:r>
          </w:p>
          <w:p>
            <w:pPr>
              <w:jc w:val="both"/>
            </w:pPr>
            <w:r>
              <w:drawing>
                <wp:inline distT="0" distB="0" distL="114300" distR="114300">
                  <wp:extent cx="2809875" cy="9550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09875" cy="95504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首先从样本集中抽取N个样本作为一个mini-batch，使用一种数据增强手段获得N个增强后的样本。</w:t>
            </w:r>
          </w:p>
          <w:p>
            <w:pPr>
              <w:ind w:firstLine="420" w:firstLineChars="200"/>
              <w:jc w:val="both"/>
              <w:rPr>
                <w:rFonts w:hint="eastAsia"/>
                <w:lang w:val="en-US" w:eastAsia="zh-CN"/>
              </w:rPr>
            </w:pPr>
            <w:r>
              <w:rPr>
                <w:rFonts w:hint="eastAsia"/>
                <w:lang w:val="en-US" w:eastAsia="zh-CN"/>
              </w:rPr>
              <w:t>增强前样本通过孪生网络的第一个通道获得128维编码信息，增强后样本通过孪生网络第二个通道获得128维编码信息，注意孪生网络只有CNN部分权值共享。</w:t>
            </w:r>
          </w:p>
          <w:p>
            <w:pPr>
              <w:ind w:firstLine="420" w:firstLineChars="200"/>
              <w:jc w:val="both"/>
              <w:rPr>
                <w:rFonts w:hint="eastAsia"/>
                <w:lang w:val="en-US" w:eastAsia="zh-CN"/>
              </w:rPr>
            </w:pPr>
            <w:r>
              <w:rPr>
                <w:rFonts w:hint="eastAsia"/>
                <w:lang w:val="en-US" w:eastAsia="zh-CN"/>
              </w:rPr>
              <w:t>对于N个原始样本，每个样本的增强版本为其正样本（几种数据增强方法就有几个正样本图中只有一种增强方法），除去样本本身及其正样本，剩下的即为负样本。如3种增强方法，则有3个正样本与3N-3个负样本。</w:t>
            </w:r>
          </w:p>
          <w:p>
            <w:pPr>
              <w:ind w:firstLine="420" w:firstLineChars="200"/>
              <w:jc w:val="both"/>
              <w:rPr>
                <w:rFonts w:hint="eastAsia"/>
                <w:lang w:val="en-US" w:eastAsia="zh-CN"/>
              </w:rPr>
            </w:pPr>
            <w:r>
              <w:rPr>
                <w:rFonts w:hint="eastAsia"/>
                <w:lang w:val="en-US" w:eastAsia="zh-CN"/>
              </w:rPr>
              <w:t>对正样本增大此条件概率意味着增大原始样本与其正样本之间的余弦相似度，即所谓的数据增强不变性：</w:t>
            </w:r>
          </w:p>
          <w:p>
            <w:pPr>
              <w:ind w:firstLine="420" w:firstLineChars="200"/>
              <w:jc w:val="both"/>
            </w:pPr>
            <w:r>
              <w:drawing>
                <wp:inline distT="0" distB="0" distL="114300" distR="114300">
                  <wp:extent cx="2011045" cy="508000"/>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011045" cy="50800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对负样本减小此条件概率意味着缩小不同样本之间余弦相似度，即所谓的实例分离特征：</w:t>
            </w:r>
          </w:p>
          <w:p>
            <w:pPr>
              <w:ind w:firstLine="420" w:firstLineChars="200"/>
              <w:jc w:val="both"/>
            </w:pPr>
            <w:r>
              <w:drawing>
                <wp:inline distT="0" distB="0" distL="114300" distR="114300">
                  <wp:extent cx="2469515" cy="507365"/>
                  <wp:effectExtent l="0" t="0" r="698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469515" cy="507365"/>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最终优化目标：</w:t>
            </w:r>
          </w:p>
          <w:p>
            <w:pPr>
              <w:ind w:firstLine="420" w:firstLineChars="200"/>
              <w:jc w:val="both"/>
            </w:pPr>
            <w:r>
              <w:drawing>
                <wp:inline distT="0" distB="0" distL="114300" distR="114300">
                  <wp:extent cx="2512695" cy="360045"/>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512695" cy="360045"/>
                          </a:xfrm>
                          <a:prstGeom prst="rect">
                            <a:avLst/>
                          </a:prstGeom>
                          <a:noFill/>
                          <a:ln>
                            <a:noFill/>
                          </a:ln>
                        </pic:spPr>
                      </pic:pic>
                    </a:graphicData>
                  </a:graphic>
                </wp:inline>
              </w:drawing>
            </w:r>
          </w:p>
          <w:p>
            <w:pPr>
              <w:ind w:firstLine="420" w:firstLineChars="200"/>
              <w:jc w:val="left"/>
              <w:rPr>
                <w:rFonts w:hint="default"/>
                <w:lang w:val="en-US" w:eastAsia="zh-CN"/>
              </w:rPr>
            </w:pPr>
            <w:r>
              <w:rPr>
                <w:rFonts w:hint="eastAsia"/>
                <w:lang w:val="en-US" w:eastAsia="zh-CN"/>
              </w:rPr>
              <w:t>其实学习的目标是属于同一类别的样本的编码更相近，不同类别的编码相互远离。但是由于缺失类别标签，因此使用数据增强的方式生成正样本，正样本与原样本一定属于同一类，以此来近似学习同一类别的样本的编码更相近。负样本是在整个训练集中随机抽取的，理论上负样本中可能含有与原样本属于同一类别的样本，但是更多的是来自不同类别的样本，以此来近似学习不同类别的编码相互远离。</w:t>
            </w:r>
          </w:p>
        </w:tc>
        <w:tc>
          <w:tcPr>
            <w:tcW w:w="7082"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实验一，测试集中的类别与训练集是一样的。</w:t>
            </w:r>
          </w:p>
          <w:p>
            <w:pPr>
              <w:keepNext w:val="0"/>
              <w:keepLines w:val="0"/>
              <w:widowControl/>
              <w:suppressLineNumbers w:val="0"/>
              <w:jc w:val="left"/>
              <w:rPr>
                <w:rFonts w:hint="eastAsia" w:ascii="Times New Roman" w:hAnsi="Times New Roman" w:eastAsia="NimbusRomNo9L-Medi" w:cs="Times New Roman"/>
                <w:b w:val="0"/>
                <w:bCs w:val="0"/>
                <w:color w:val="000000"/>
                <w:kern w:val="0"/>
                <w:sz w:val="21"/>
                <w:szCs w:val="21"/>
                <w:lang w:val="en-US" w:eastAsia="zh-CN" w:bidi="ar"/>
              </w:rPr>
            </w:pPr>
            <w:r>
              <w:rPr>
                <w:rFonts w:hint="eastAsia"/>
                <w:vertAlign w:val="baseline"/>
                <w:lang w:val="en-US" w:eastAsia="zh-CN"/>
              </w:rPr>
              <w:t xml:space="preserve">分类性能：在 </w:t>
            </w:r>
            <w:r>
              <w:rPr>
                <w:rFonts w:hint="default" w:ascii="Times New Roman" w:hAnsi="Times New Roman" w:cs="Times New Roman"/>
                <w:vertAlign w:val="baseline"/>
                <w:lang w:val="en-US" w:eastAsia="zh-CN"/>
              </w:rPr>
              <w:t>CIFAR-10</w:t>
            </w:r>
            <w:r>
              <w:rPr>
                <w:rFonts w:hint="eastAsia" w:ascii="Times New Roman" w:hAnsi="Times New Roman" w:eastAsia="NimbusRomNo9L-Medi" w:cs="Times New Roman"/>
                <w:b w:val="0"/>
                <w:bCs w:val="0"/>
                <w:color w:val="000000"/>
                <w:kern w:val="0"/>
                <w:sz w:val="21"/>
                <w:szCs w:val="21"/>
                <w:lang w:val="en-US" w:eastAsia="zh-CN" w:bidi="ar"/>
              </w:rPr>
              <w:t>进行实验，值得一提的是分类器是KNN分类器，即提前存储好训练样本的所有128维编码，测试样本的128维编码在训练样本编码库进行K近邻决策得到分类结果，达到83.6%。在</w:t>
            </w:r>
            <w:r>
              <w:rPr>
                <w:rFonts w:hint="default" w:ascii="Times New Roman" w:hAnsi="Times New Roman" w:eastAsia="NimbusRomNo9L-Medi" w:cs="Times New Roman"/>
                <w:b w:val="0"/>
                <w:bCs w:val="0"/>
                <w:color w:val="000000"/>
                <w:kern w:val="0"/>
                <w:sz w:val="21"/>
                <w:szCs w:val="21"/>
                <w:lang w:val="en-US" w:eastAsia="zh-CN" w:bidi="ar"/>
              </w:rPr>
              <w:t>STL-10</w:t>
            </w:r>
            <w:r>
              <w:rPr>
                <w:rFonts w:hint="eastAsia" w:ascii="Times New Roman" w:hAnsi="Times New Roman" w:eastAsia="NimbusRomNo9L-Medi" w:cs="Times New Roman"/>
                <w:b w:val="0"/>
                <w:bCs w:val="0"/>
                <w:color w:val="000000"/>
                <w:kern w:val="0"/>
                <w:sz w:val="21"/>
                <w:szCs w:val="21"/>
                <w:lang w:val="en-US" w:eastAsia="zh-CN" w:bidi="ar"/>
              </w:rPr>
              <w:t>上，使用KNN与SVM（SVM就是在128维编码后接上一个全连接层，只训练最后的全连接层获得分类结果）</w:t>
            </w:r>
          </w:p>
          <w:p>
            <w:pPr>
              <w:keepNext w:val="0"/>
              <w:keepLines w:val="0"/>
              <w:widowControl/>
              <w:suppressLineNumbers w:val="0"/>
              <w:jc w:val="left"/>
              <w:rPr>
                <w:rFonts w:hint="default" w:ascii="Times New Roman" w:hAnsi="Times New Roman" w:eastAsia="NimbusRomNo9L-Medi" w:cs="Times New Roman"/>
                <w:b w:val="0"/>
                <w:bCs w:val="0"/>
                <w:color w:val="000000"/>
                <w:kern w:val="0"/>
                <w:sz w:val="21"/>
                <w:szCs w:val="21"/>
                <w:lang w:val="en-US" w:eastAsia="zh-CN" w:bidi="ar"/>
              </w:rPr>
            </w:pPr>
            <w:r>
              <w:rPr>
                <w:rFonts w:hint="eastAsia" w:ascii="Times New Roman" w:hAnsi="Times New Roman" w:eastAsia="NimbusRomNo9L-Medi" w:cs="Times New Roman"/>
                <w:b w:val="0"/>
                <w:bCs w:val="0"/>
                <w:color w:val="000000"/>
                <w:kern w:val="0"/>
                <w:sz w:val="21"/>
                <w:szCs w:val="21"/>
                <w:lang w:val="en-US" w:eastAsia="zh-CN" w:bidi="ar"/>
              </w:rPr>
              <w:t>训练效率：</w:t>
            </w:r>
          </w:p>
          <w:p>
            <w:pPr>
              <w:jc w:val="left"/>
              <w:rPr>
                <w:rFonts w:hint="default" w:ascii="Times New Roman" w:hAnsi="Times New Roman" w:cs="Times New Roman"/>
                <w:vertAlign w:val="baseline"/>
                <w:lang w:val="en-US" w:eastAsia="zh-CN"/>
              </w:rPr>
            </w:pPr>
            <w:r>
              <w:drawing>
                <wp:inline distT="0" distB="0" distL="114300" distR="114300">
                  <wp:extent cx="2566035" cy="1874520"/>
                  <wp:effectExtent l="0" t="0" r="571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66035" cy="1874520"/>
                          </a:xfrm>
                          <a:prstGeom prst="rect">
                            <a:avLst/>
                          </a:prstGeom>
                          <a:noFill/>
                          <a:ln>
                            <a:noFill/>
                          </a:ln>
                        </pic:spPr>
                      </pic:pic>
                    </a:graphicData>
                  </a:graphic>
                </wp:inline>
              </w:drawing>
            </w:r>
          </w:p>
          <w:p>
            <w:pPr>
              <w:jc w:val="left"/>
              <w:rPr>
                <w:rFonts w:hint="eastAsia"/>
                <w:vertAlign w:val="baseline"/>
                <w:lang w:val="en-US" w:eastAsia="zh-CN"/>
              </w:rPr>
            </w:pPr>
            <w:r>
              <w:rPr>
                <w:rFonts w:hint="eastAsia"/>
                <w:vertAlign w:val="baseline"/>
                <w:lang w:val="en-US" w:eastAsia="zh-CN"/>
              </w:rPr>
              <w:t>使用本文的无监督方法训练特征提取网络，只需要两轮训练后，Cifar10数据集KNN分类的正确率就达到了60%，其他方法达到60%时都需要特征提取网络无监督训练超过20轮之后。</w:t>
            </w:r>
          </w:p>
          <w:p>
            <w:pPr>
              <w:jc w:val="left"/>
              <w:rPr>
                <w:rFonts w:hint="eastAsia"/>
                <w:vertAlign w:val="baseline"/>
                <w:lang w:val="en-US" w:eastAsia="zh-CN"/>
              </w:rPr>
            </w:pPr>
          </w:p>
          <w:p>
            <w:pPr>
              <w:jc w:val="left"/>
              <w:rPr>
                <w:rFonts w:hint="eastAsia"/>
                <w:lang w:val="en-US" w:eastAsia="zh-CN"/>
              </w:rPr>
            </w:pPr>
            <w:r>
              <w:rPr>
                <w:rFonts w:hint="eastAsia"/>
                <w:vertAlign w:val="baseline"/>
                <w:lang w:val="en-US" w:eastAsia="zh-CN"/>
              </w:rPr>
              <w:t>实验二，测试集中的类别与训练集是一样的。一个1000类的数据集，训练时只使用前500类，测试时使用后500类。</w:t>
            </w:r>
            <w:r>
              <w:rPr>
                <w:rFonts w:hint="eastAsia"/>
                <w:lang w:val="en-US" w:eastAsia="zh-CN"/>
              </w:rPr>
              <w:t>R2即前两个最可能类别中包含正确类别就算分类正确，NMI是归一化互信息。</w:t>
            </w:r>
          </w:p>
          <w:p>
            <w:pPr>
              <w:jc w:val="left"/>
              <w:rPr>
                <w:rFonts w:hint="eastAsia"/>
                <w:vertAlign w:val="baseline"/>
                <w:lang w:val="en-US" w:eastAsia="zh-CN"/>
              </w:rPr>
            </w:pPr>
            <w:r>
              <w:drawing>
                <wp:inline distT="0" distB="0" distL="114300" distR="114300">
                  <wp:extent cx="2414905" cy="1685290"/>
                  <wp:effectExtent l="0" t="0" r="444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414905" cy="1685290"/>
                          </a:xfrm>
                          <a:prstGeom prst="rect">
                            <a:avLst/>
                          </a:prstGeom>
                          <a:noFill/>
                          <a:ln>
                            <a:noFill/>
                          </a:ln>
                        </pic:spPr>
                      </pic:pic>
                    </a:graphicData>
                  </a:graphic>
                </wp:inline>
              </w:drawing>
            </w:r>
          </w:p>
          <w:p>
            <w:pPr>
              <w:jc w:val="left"/>
              <w:rPr>
                <w:rFonts w:hint="eastAsia"/>
                <w:vertAlign w:val="baseline"/>
                <w:lang w:val="en-US" w:eastAsia="zh-CN"/>
              </w:rPr>
            </w:pPr>
            <w:r>
              <w:rPr>
                <w:rFonts w:hint="eastAsia"/>
                <w:vertAlign w:val="baseline"/>
                <w:lang w:val="en-US" w:eastAsia="zh-CN"/>
              </w:rPr>
              <w:t>上面无的监督训练都使用了Imagenet的预训练参数，作者使用随机初始化网络又进行了一组实验。</w:t>
            </w:r>
          </w:p>
          <w:p>
            <w:pPr>
              <w:jc w:val="left"/>
              <w:rPr>
                <w:rFonts w:hint="eastAsia"/>
                <w:vertAlign w:val="baseline"/>
                <w:lang w:val="en-US" w:eastAsia="zh-CN"/>
              </w:rPr>
            </w:pPr>
          </w:p>
          <w:p>
            <w:pPr>
              <w:jc w:val="left"/>
              <w:rPr>
                <w:rFonts w:hint="eastAsia"/>
                <w:vertAlign w:val="baseline"/>
                <w:lang w:val="en-US" w:eastAsia="zh-CN"/>
              </w:rPr>
            </w:pPr>
            <w:r>
              <w:rPr>
                <w:rFonts w:hint="eastAsia"/>
                <w:vertAlign w:val="baseline"/>
                <w:lang w:val="en-US" w:eastAsia="zh-CN"/>
              </w:rPr>
              <w:t>实验三，消融实验，分析数据增强不变性训练与实例分离训练两者的重要性，</w:t>
            </w:r>
          </w:p>
          <w:p>
            <w:pPr>
              <w:jc w:val="left"/>
              <w:rPr>
                <w:rFonts w:hint="default"/>
                <w:vertAlign w:val="baseline"/>
                <w:lang w:val="en-US" w:eastAsia="zh-CN"/>
              </w:rPr>
            </w:pPr>
            <w:r>
              <w:rPr>
                <w:rFonts w:hint="eastAsia"/>
                <w:vertAlign w:val="baseline"/>
                <w:lang w:val="en-US" w:eastAsia="zh-CN"/>
              </w:rPr>
              <w:t>前者通过减少数据增强方式，减少正样本数量，观察到KNN聚类效果下降。后者通过难易设置，通过原样本与负样本之间的余弦相似度把负样本进行难易划分，余弦相似度较高的前50%认为是难负样本，余弦相似度较低的后50%认为是易负样本，只使用难负样本进行训练可以达到与原本训练相同的KNN聚类效果，只使用易负样本进行训练KNN聚类效果大幅下降。</w:t>
            </w:r>
          </w:p>
          <w:p>
            <w:pPr>
              <w:jc w:val="left"/>
              <w:rPr>
                <w:rFonts w:hint="default"/>
                <w:lang w:val="en-US" w:eastAsia="zh-CN"/>
              </w:rPr>
            </w:pPr>
          </w:p>
          <w:p>
            <w:pPr>
              <w:jc w:val="left"/>
              <w:rPr>
                <w:rFonts w:hint="default"/>
                <w:vertAlign w:val="baseline"/>
                <w:lang w:val="en-US" w:eastAsia="zh-CN"/>
              </w:rPr>
            </w:pPr>
          </w:p>
        </w:tc>
      </w:tr>
    </w:tbl>
    <w:p>
      <w:bookmarkStart w:id="0" w:name="_GoBack"/>
      <w:bookmarkEnd w:id="0"/>
    </w:p>
    <w:sectPr>
      <w:pgSz w:w="23811" w:h="22677" w:orient="landscape"/>
      <w:pgMar w:top="1803" w:right="1440" w:bottom="2597" w:left="144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2B4A467F"/>
    <w:rsid w:val="335400FC"/>
    <w:rsid w:val="3522684B"/>
    <w:rsid w:val="38697CBB"/>
    <w:rsid w:val="3CEC1059"/>
    <w:rsid w:val="3D4124FD"/>
    <w:rsid w:val="500F5DC4"/>
    <w:rsid w:val="5262440B"/>
    <w:rsid w:val="58A40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1588</Words>
  <Characters>1813</Characters>
  <Lines>0</Lines>
  <Paragraphs>0</Paragraphs>
  <TotalTime>8</TotalTime>
  <ScaleCrop>false</ScaleCrop>
  <LinksUpToDate>false</LinksUpToDate>
  <CharactersWithSpaces>1828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2023-02-10T12:37:17Z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D41A84928CB746DE97773DCFBA2890DB</vt:lpwstr>
  </property>
</Properties>
</file>