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0.9.13 — released 2026-10-27.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§7.6).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01"/>
            <w:shd w:val="clear" w:color="auto" w:fill="D9E2F3"/>
          </w:tcPr>
          <w:p>
            <w:pPr>
              <w:spacing w:after="0"/>
            </w:pPr>
            <w:r>
              <w:rPr>
                <w:b/>
                <w:i w:val="0"/>
                <w:sz w:val="19"/>
              </w:rPr>
              <w:t>Button</w:t>
            </w:r>
          </w:p>
        </w:tc>
        <w:tc>
          <w:tcPr>
            <w:tcW w:type="dxa" w:w="8247"/>
            <w:shd w:val="clear" w:color="auto" w:fill="D9E2F3"/>
          </w:tcPr>
          <w:p>
            <w:pPr>
              <w:spacing w:after="0"/>
            </w:pPr>
            <w:r>
              <w:rPr>
                <w:b/>
                <w:i w:val="0"/>
                <w:sz w:val="19"/>
              </w:rPr>
              <w:t>Action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Recalculate this row's AC values (W, VAR, VA, A, pf) from whatever you have filled in.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Duplicate the row.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Insert a blank, editable child row under this item (see "Adding items from a grid" below).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Open the full Edit Item dialog (for overrides, notes and references).</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Delete.</w:t>
            </w:r>
          </w:p>
        </w:tc>
      </w:tr>
      <w:tr>
        <w:trPr>
          <w:cantSplit w:val="true"/>
        </w:trPr>
        <w:tc>
          <w:tcPr>
            <w:tcW w:type="dxa" w:w="1401"/>
          </w:tcPr>
          <w:p>
            <w:pPr>
              <w:spacing w:after="0"/>
            </w:pPr>
            <w:r>
              <w:rPr>
                <w:b/>
                <w:i w:val="0"/>
                <w:sz w:val="19"/>
              </w:rPr>
              <w:t>↻</w:t>
            </w:r>
            <w:r>
              <w:rPr>
                <w:b w:val="0"/>
                <w:i w:val="0"/>
                <w:sz w:val="19"/>
              </w:rPr>
              <w:t xml:space="preserve"> (beside a group of columns)</w:t>
            </w:r>
          </w:p>
        </w:tc>
        <w:tc>
          <w:tcPr>
            <w:tcW w:type="dxa" w:w="8247"/>
          </w:tcPr>
          <w:p>
            <w:pPr>
              <w:spacing w:after="0"/>
            </w:pPr>
            <w:r>
              <w:rPr>
                <w:b w:val="0"/>
                <w:i w:val="0"/>
                <w:sz w:val="19"/>
              </w:rPr>
              <w:t>Clear that group of values. Clearing is required before you can change the values in an AC group; for DC values it is optional.</w:t>
            </w:r>
          </w:p>
        </w:tc>
      </w:tr>
      <w:tr>
        <w:trPr>
          <w:cantSplit w:val="true"/>
        </w:trPr>
        <w:tc>
          <w:tcPr>
            <w:tcW w:type="dxa" w:w="1401"/>
          </w:tcPr>
          <w:p>
            <w:pPr>
              <w:spacing w:after="0"/>
            </w:pPr>
            <w:r>
              <w:rPr>
                <w:b/>
                <w:i w:val="0"/>
                <w:sz w:val="19"/>
              </w:rPr>
              <w:t>↑ ↓</w:t>
            </w:r>
          </w:p>
        </w:tc>
        <w:tc>
          <w:tcPr>
            <w:tcW w:type="dxa" w:w="8247"/>
          </w:tcPr>
          <w:p>
            <w:pPr>
              <w:spacing w:after="0"/>
            </w:pPr>
            <w:r>
              <w:rPr>
                <w:b w:val="0"/>
                <w:i w:val="0"/>
                <w:sz w:val="19"/>
              </w:rPr>
              <w:t>Reorder.</w:t>
            </w:r>
          </w:p>
        </w:tc>
      </w:tr>
      <w:tr>
        <w:trPr>
          <w:cantSplit w:val="true"/>
        </w:trPr>
        <w:tc>
          <w:tcPr>
            <w:tcW w:type="dxa" w:w="1401"/>
          </w:tcPr>
          <w:p>
            <w:pPr>
              <w:spacing w:after="0"/>
            </w:pPr>
            <w:r>
              <w:rPr>
                <w:b/>
                <w:i w:val="0"/>
                <w:sz w:val="19"/>
              </w:rPr>
              <w:t>Share / Unshare</w:t>
            </w:r>
          </w:p>
        </w:tc>
        <w:tc>
          <w:tcPr>
            <w:tcW w:type="dxa" w:w="8247"/>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i w:val="0"/>
        </w:rPr>
        <w:t>Adding items from a grid.</w:t>
      </w:r>
      <w:r>
        <w:rPr>
          <w:b w:val="0"/>
          <w:i w:val="0"/>
        </w:rPr>
        <w:t xml:space="preserve"> There are three ways, and they are not all obvious:</w:t>
      </w:r>
    </w:p>
    <w:p>
      <w:pPr>
        <w:pStyle w:val="ListBullet"/>
        <w:spacing w:after="60"/>
      </w:pPr>
      <w:r>
        <w:rPr>
          <w:b/>
          <w:i w:val="0"/>
        </w:rPr>
        <w:t>↳</w:t>
      </w:r>
      <w:r>
        <w:rPr>
          <w:b w:val="0"/>
          <w:i w:val="0"/>
        </w:rPr>
        <w:t xml:space="preserve"> (in a row) inserts a blank child row directly under that item and puts the cursor in its Description cell. The new row starts with a default type for that parent (change it in the row if you need another) and takes its voltage and AC / DC from the item above it; you type its values straight into the row's cells. Nothing else opens.</w:t>
      </w:r>
    </w:p>
    <w:p>
      <w:pPr>
        <w:pStyle w:val="ListBullet"/>
        <w:spacing w:after="60"/>
      </w:pPr>
      <w:r>
        <w:rPr>
          <w:b/>
          <w:i w:val="0"/>
        </w:rPr>
        <w:t>+ Item</w:t>
      </w:r>
      <w:r>
        <w:rPr>
          <w:b w:val="0"/>
          <w:i w:val="0"/>
        </w:rPr>
        <w:t xml:space="preserve"> (bottom of the grid) opens the </w:t>
      </w:r>
      <w:r>
        <w:rPr>
          <w:b/>
          <w:i w:val="0"/>
        </w:rPr>
        <w:t>Add Item(s)</w:t>
      </w:r>
      <w:r>
        <w:rPr>
          <w:b w:val="0"/>
          <w:i w:val="0"/>
        </w:rPr>
        <w:t xml:space="preserve"> dialog with no parent chosen yet (§4.3).</w:t>
      </w:r>
    </w:p>
    <w:p>
      <w:pPr>
        <w:pStyle w:val="ListBullet"/>
        <w:spacing w:after="60"/>
      </w:pPr>
      <w:r>
        <w:rPr>
          <w:b/>
          <w:i w:val="0"/>
        </w:rPr>
        <w:t>A TRU cannot be typed into a row</w:t>
      </w:r>
      <w:r>
        <w:rPr>
          <w:b w:val="0"/>
          <w:i w:val="0"/>
        </w:rPr>
        <w:t xml:space="preserve"> — it is always created as an IN / OUT pair by the Add Item(s) dialog. To add a TRU as a child of an item from a grid, open that item's </w:t>
      </w:r>
      <w:r>
        <w:rPr>
          <w:b/>
          <w:i w:val="0"/>
        </w:rPr>
        <w:t>Item Type</w:t>
      </w:r>
      <w:r>
        <w:rPr>
          <w:b w:val="0"/>
          <w:i w:val="0"/>
        </w:rPr>
        <w:t xml:space="preserve"> drop-down in its row and choose the last entry, </w:t>
      </w:r>
      <w:r>
        <w:rPr>
          <w:b/>
          <w:i w:val="0"/>
        </w:rPr>
        <w:t>+ TRU (opens Add Item)</w:t>
      </w:r>
      <w:r>
        <w:rPr>
          <w:b w:val="0"/>
          <w:i w:val="0"/>
        </w:rPr>
        <w:t xml:space="preserve">. The row itself does not change; the Add Item(s) dialog opens with that item already chosen as the parent and </w:t>
      </w:r>
      <w:r>
        <w:rPr>
          <w:b/>
          <w:i w:val="0"/>
        </w:rPr>
        <w:t>TRU</w:t>
      </w:r>
      <w:r>
        <w:rPr>
          <w:b w:val="0"/>
          <w:i w:val="0"/>
        </w:rPr>
        <w:t xml:space="preserve"> already chosen as the type (§4.3). The entry appears only on rows whose type can be changed.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 An item with a manually entered Net Change Override should not have children: the override replaces the total of whatever is beneath it, so children added under it do not change the total (and an Installed item with an override is not offered </w:t>
      </w:r>
      <w:r>
        <w:rPr>
          <w:b/>
          <w:i w:val="0"/>
        </w:rPr>
        <w:t>+ Child</w:t>
      </w:r>
      <w:r>
        <w:rPr>
          <w:b w:val="0"/>
          <w:i w:val="0"/>
        </w:rPr>
        <w:t xml:space="preserve"> at all). Clear the override first if you want the item to total its children.</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The Add Item(s) dialog</w:t>
      </w:r>
    </w:p>
    <w:p>
      <w:r>
        <w:rPr>
          <w:b w:val="0"/>
          <w:i w:val="0"/>
        </w:rPr>
        <w:t xml:space="preserve">Open it with </w:t>
      </w:r>
      <w:r>
        <w:rPr>
          <w:b/>
          <w:i w:val="0"/>
        </w:rPr>
        <w:t>+ Child</w:t>
      </w:r>
      <w:r>
        <w:rPr>
          <w:b w:val="0"/>
          <w:i w:val="0"/>
        </w:rPr>
        <w:t xml:space="preserve"> (a tree row), </w:t>
      </w:r>
      <w:r>
        <w:rPr>
          <w:b/>
          <w:i w:val="0"/>
        </w:rPr>
        <w:t>+ Root</w:t>
      </w:r>
      <w:r>
        <w:rPr>
          <w:b w:val="0"/>
          <w:i w:val="0"/>
        </w:rPr>
        <w:t xml:space="preserve"> (above the tree), </w:t>
      </w:r>
      <w:r>
        <w:rPr>
          <w:b/>
          <w:i w:val="0"/>
        </w:rPr>
        <w:t>+ Item</w:t>
      </w:r>
      <w:r>
        <w:rPr>
          <w:b w:val="0"/>
          <w:i w:val="0"/>
        </w:rPr>
        <w:t xml:space="preserve"> (bottom of either grid), or — to add a TRU from a grid — the </w:t>
      </w:r>
      <w:r>
        <w:rPr>
          <w:b/>
          <w:i w:val="0"/>
        </w:rPr>
        <w:t>+ TRU (opens Add Item)</w:t>
      </w:r>
      <w:r>
        <w:rPr>
          <w:b w:val="0"/>
          <w:i w:val="0"/>
        </w:rPr>
        <w:t xml:space="preserve"> entry in a grid row's Item Type drop-down (§3.2). Several items of one kind can be added at once:</w:t>
      </w:r>
    </w:p>
    <w:p>
      <w:pPr>
        <w:pStyle w:val="ListBullet"/>
        <w:spacing w:after="60"/>
      </w:pPr>
      <w:r>
        <w:rPr>
          <w:b/>
          <w:i w:val="0"/>
        </w:rPr>
        <w:t>Parent Item</w:t>
      </w:r>
      <w:r>
        <w:rPr>
          <w:b w:val="0"/>
          <w:i w:val="0"/>
        </w:rPr>
        <w:t xml:space="preserve"> — where the new items go (preselected when you start from a tree row or a grid row; choose </w:t>
      </w:r>
      <w:r>
        <w:rPr>
          <w:b w:val="0"/>
          <w:i/>
        </w:rPr>
        <w:t>No Parent (New Root)</w:t>
      </w:r>
      <w:r>
        <w:rPr>
          <w:b w:val="0"/>
          <w:i w:val="0"/>
        </w:rPr>
        <w:t xml:space="preserve"> for a top-level item).</w:t>
      </w:r>
    </w:p>
    <w:p>
      <w:pPr>
        <w:pStyle w:val="ListBullet"/>
        <w:spacing w:after="60"/>
      </w:pPr>
      <w:r>
        <w:rPr>
          <w:b/>
          <w:i w:val="0"/>
        </w:rPr>
        <w:t>Item Settings</w:t>
      </w:r>
      <w:r>
        <w:rPr>
          <w:b w:val="0"/>
          <w:i w:val="0"/>
        </w:rPr>
        <w:t xml:space="preserve"> — </w:t>
      </w:r>
      <w:r>
        <w:rPr>
          <w:b/>
          <w:i w:val="0"/>
        </w:rPr>
        <w:t>Item Type</w:t>
      </w:r>
      <w:r>
        <w:rPr>
          <w:b w:val="0"/>
          <w:i w:val="0"/>
        </w:rPr>
        <w:t xml:space="preserve">, </w:t>
      </w:r>
      <w:r>
        <w:rPr>
          <w:b/>
          <w:i w:val="0"/>
        </w:rPr>
        <w:t>Volts</w:t>
      </w:r>
      <w:r>
        <w:rPr>
          <w:b w:val="0"/>
          <w:i w:val="0"/>
        </w:rPr>
        <w:t xml:space="preserve">, </w:t>
      </w:r>
      <w:r>
        <w:rPr>
          <w:b/>
          <w:i w:val="0"/>
        </w:rPr>
        <w:t>AC / DC</w:t>
      </w:r>
      <w:r>
        <w:rPr>
          <w:b w:val="0"/>
          <w:i w:val="0"/>
        </w:rPr>
        <w:t xml:space="preserve"> and </w:t>
      </w:r>
      <w:r>
        <w:rPr>
          <w:b/>
          <w:i w:val="0"/>
        </w:rPr>
        <w:t>Status</w:t>
      </w:r>
      <w:r>
        <w:rPr>
          <w:b w:val="0"/>
          <w:i w:val="0"/>
        </w:rPr>
        <w:t>, chosen once for every row below.</w:t>
      </w:r>
    </w:p>
    <w:p>
      <w:pPr>
        <w:pStyle w:val="ListBullet"/>
        <w:spacing w:after="60"/>
      </w:pPr>
      <w:r>
        <w:rPr>
          <w:b/>
          <w:i w:val="0"/>
        </w:rPr>
        <w:t>Items to Add</w:t>
      </w:r>
      <w:r>
        <w:rPr>
          <w:b w:val="0"/>
          <w:i w:val="0"/>
        </w:rPr>
        <w:t xml:space="preserve"> — one row per item: a description, an optional reference designator, and the capacity, existing-load or load values that suit the type. Use </w:t>
      </w:r>
      <w:r>
        <w:rPr>
          <w:b/>
          <w:i w:val="0"/>
        </w:rPr>
        <w:t>+ Add Another Row</w:t>
      </w:r>
      <w:r>
        <w:rPr>
          <w:b w:val="0"/>
          <w:i w:val="0"/>
        </w:rPr>
        <w:t xml:space="preserve"> for more.</w:t>
      </w:r>
    </w:p>
    <w:p>
      <w:pPr>
        <w:pStyle w:val="ListBullet"/>
        <w:spacing w:after="60"/>
      </w:pPr>
      <w:r>
        <w:rPr>
          <w:b/>
          <w:i w:val="0"/>
        </w:rPr>
        <w:t>TRU</w:t>
      </w:r>
      <w:r>
        <w:rPr>
          <w:b w:val="0"/>
          <w:i w:val="0"/>
        </w:rPr>
        <w:t xml:space="preserve"> — a TRU row also takes the efficiency (default 0.85), the output voltage, and the capacity and load of its input (IN) and output (OUT) sides. Saving creates the linked IN / OUT pair and its transfer row note (§3.3). Extra input phases are added afterward in the Edit dialog with </w:t>
      </w:r>
      <w:r>
        <w:rPr>
          <w:b/>
          <w:i w:val="0"/>
        </w:rPr>
        <w:t>+ Parent</w:t>
      </w:r>
      <w:r>
        <w:rPr>
          <w:b w:val="0"/>
          <w:i w:val="0"/>
        </w:rPr>
        <w:t xml:space="preserve"> (§4.2).</w:t>
      </w:r>
    </w:p>
    <w:p>
      <w:pPr>
        <w:pStyle w:val="ListBullet"/>
        <w:spacing w:after="60"/>
      </w:pPr>
      <w:r>
        <w:rPr>
          <w:b/>
          <w:i w:val="0"/>
        </w:rPr>
        <w:t>Save</w:t>
      </w:r>
      <w:r>
        <w:rPr>
          <w:b w:val="0"/>
          <w:i w:val="0"/>
        </w:rPr>
        <w:t xml:space="preserve"> adds the items; </w:t>
      </w:r>
      <w:r>
        <w:rPr>
          <w:b/>
          <w:i w:val="0"/>
        </w:rPr>
        <w:t>Cancel</w:t>
      </w:r>
      <w:r>
        <w:rPr>
          <w:b w:val="0"/>
          <w:i w:val="0"/>
        </w:rPr>
        <w:t xml:space="preserve"> closes the dialog without adding anything.</w:t>
      </w:r>
    </w:p>
    <w:p>
      <w:r>
        <w:rPr>
          <w:b w:val="0"/>
          <w:i w:val="0"/>
        </w:rPr>
        <w:t>New items inherit the parent's voltage, AC / DC and (where used) phase.</w:t>
      </w:r>
    </w:p>
    <w:p>
      <w:pPr>
        <w:pStyle w:val="Heading3"/>
      </w:pPr>
      <w:r>
        <w:rPr>
          <w:b w:val="0"/>
          <w:i w:val="0"/>
        </w:rPr>
        <w:t>4.4 Previous &amp; Concurrent Modifications</w:t>
      </w:r>
    </w:p>
    <w:p>
      <w:r>
        <w:rPr>
          <w:b w:val="0"/>
          <w:i w:val="0"/>
        </w:rPr>
        <w:t xml:space="preserve">Sometimes it is necessary or advantageous to account for previous and concurrent modifications separate from the active project.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If the document lacks some of the available content controls (§7.4), a message says so; those parts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Content controls</w:t>
      </w:r>
    </w:p>
    <w:p>
      <w:r>
        <w:rPr>
          <w:b w:val="0"/>
          <w:i w:val="0"/>
        </w:rPr>
        <w:t xml:space="preserve">Watts Up writes into a Word document through </w:t>
      </w:r>
      <w:r>
        <w:rPr>
          <w:b/>
          <w:i w:val="0"/>
        </w:rPr>
        <w:t>content controls</w:t>
      </w:r>
      <w:r>
        <w:rPr>
          <w:b w:val="0"/>
          <w:i w:val="0"/>
        </w:rPr>
        <w:t xml:space="preserve"> — fields in the document that carry a </w:t>
      </w:r>
      <w:r>
        <w:rPr>
          <w:b/>
          <w:i w:val="0"/>
        </w:rPr>
        <w:t>tag</w:t>
      </w:r>
      <w:r>
        <w:rPr>
          <w:b w:val="0"/>
          <w:i w:val="0"/>
        </w:rPr>
        <w:t xml:space="preserve">. Each time you sync, every control whose tag is in the table below is refilled; anything else in the document is left exactly as you made it. A control can appear more than once (for example the document number in the body and in every header), and text controls can sit in headers and footers as well as in the body. A control that isn't in the document is simply not filled. </w:t>
      </w:r>
      <w:r>
        <w:rPr>
          <w:b/>
          <w:i w:val="0"/>
        </w:rPr>
        <w:t>Create New Report…</w:t>
      </w:r>
      <w:r>
        <w:rPr>
          <w:b w:val="0"/>
          <w:i w:val="0"/>
        </w:rPr>
        <w:t xml:space="preserve"> makes a document that contains all of them, which is the easiest way to see how they look.</w:t>
      </w:r>
    </w:p>
    <w:p>
      <w:r>
        <w:rPr>
          <w:b w:val="0"/>
          <w:i w:val="0"/>
        </w:rPr>
        <w:t xml:space="preserve">To add one to your own document: in Word, insert a content control (Developer tab ▸ Rich Text Content Control), open its </w:t>
      </w:r>
      <w:r>
        <w:rPr>
          <w:b/>
          <w:i w:val="0"/>
        </w:rPr>
        <w:t>Properties</w:t>
      </w:r>
      <w:r>
        <w:rPr>
          <w:b w:val="0"/>
          <w:i w:val="0"/>
        </w:rPr>
        <w:t xml:space="preserve"> and type the tag exactly as shown (lower case).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538"/>
            <w:shd w:val="clear" w:color="auto" w:fill="D9E2F3"/>
          </w:tcPr>
          <w:p>
            <w:pPr>
              <w:spacing w:after="0"/>
            </w:pPr>
            <w:r>
              <w:rPr>
                <w:b/>
                <w:i w:val="0"/>
                <w:sz w:val="19"/>
              </w:rPr>
              <w:t>Tag</w:t>
            </w:r>
          </w:p>
        </w:tc>
        <w:tc>
          <w:tcPr>
            <w:tcW w:type="dxa" w:w="7110"/>
            <w:shd w:val="clear" w:color="auto" w:fill="D9E2F3"/>
          </w:tcPr>
          <w:p>
            <w:pPr>
              <w:spacing w:after="0"/>
            </w:pPr>
            <w:r>
              <w:rPr>
                <w:b/>
                <w:i w:val="0"/>
                <w:sz w:val="19"/>
              </w:rPr>
              <w:t>What it holds</w:t>
            </w:r>
          </w:p>
        </w:tc>
      </w:tr>
      <w:tr>
        <w:trPr>
          <w:cantSplit w:val="true"/>
        </w:trPr>
        <w:tc>
          <w:tcPr>
            <w:tcW w:type="dxa" w:w="2538"/>
          </w:tcPr>
          <w:p>
            <w:pPr>
              <w:spacing w:after="0"/>
            </w:pPr>
            <w:r>
              <w:rPr>
                <w:rFonts w:ascii="Consolas" w:hAnsi="Consolas" w:eastAsia="Consolas"/>
                <w:b w:val="0"/>
                <w:i w:val="0"/>
                <w:sz w:val="17"/>
                <w:shd w:val="clear" w:color="auto" w:fill="EEF1F6"/>
              </w:rPr>
              <w:t>wu-docnumber</w:t>
            </w:r>
          </w:p>
        </w:tc>
        <w:tc>
          <w:tcPr>
            <w:tcW w:type="dxa" w:w="7110"/>
          </w:tcPr>
          <w:p>
            <w:pPr>
              <w:spacing w:after="0"/>
            </w:pPr>
            <w:r>
              <w:rPr>
                <w:b w:val="0"/>
                <w:i w:val="0"/>
                <w:sz w:val="19"/>
              </w:rPr>
              <w:t>Document number (Document tab).</w:t>
            </w:r>
          </w:p>
        </w:tc>
      </w:tr>
      <w:tr>
        <w:trPr>
          <w:cantSplit w:val="true"/>
        </w:trPr>
        <w:tc>
          <w:tcPr>
            <w:tcW w:type="dxa" w:w="2538"/>
          </w:tcPr>
          <w:p>
            <w:pPr>
              <w:spacing w:after="0"/>
            </w:pPr>
            <w:r>
              <w:rPr>
                <w:rFonts w:ascii="Consolas" w:hAnsi="Consolas" w:eastAsia="Consolas"/>
                <w:b w:val="0"/>
                <w:i w:val="0"/>
                <w:sz w:val="17"/>
                <w:shd w:val="clear" w:color="auto" w:fill="EEF1F6"/>
              </w:rPr>
              <w:t>wu-revision</w:t>
            </w:r>
          </w:p>
        </w:tc>
        <w:tc>
          <w:tcPr>
            <w:tcW w:type="dxa" w:w="7110"/>
          </w:tcPr>
          <w:p>
            <w:pPr>
              <w:spacing w:after="0"/>
            </w:pPr>
            <w:r>
              <w:rPr>
                <w:b w:val="0"/>
                <w:i w:val="0"/>
                <w:sz w:val="19"/>
              </w:rPr>
              <w:t>Revision (Rev, Document tab).</w:t>
            </w:r>
          </w:p>
        </w:tc>
      </w:tr>
      <w:tr>
        <w:trPr>
          <w:cantSplit w:val="true"/>
        </w:trPr>
        <w:tc>
          <w:tcPr>
            <w:tcW w:type="dxa" w:w="2538"/>
          </w:tcPr>
          <w:p>
            <w:pPr>
              <w:spacing w:after="0"/>
            </w:pPr>
            <w:r>
              <w:rPr>
                <w:rFonts w:ascii="Consolas" w:hAnsi="Consolas" w:eastAsia="Consolas"/>
                <w:b w:val="0"/>
                <w:i w:val="0"/>
                <w:sz w:val="17"/>
                <w:shd w:val="clear" w:color="auto" w:fill="EEF1F6"/>
              </w:rPr>
              <w:t>wu-revdate</w:t>
            </w:r>
          </w:p>
        </w:tc>
        <w:tc>
          <w:tcPr>
            <w:tcW w:type="dxa" w:w="7110"/>
          </w:tcPr>
          <w:p>
            <w:pPr>
              <w:spacing w:after="0"/>
            </w:pPr>
            <w:r>
              <w:rPr>
                <w:b w:val="0"/>
                <w:i w:val="0"/>
                <w:sz w:val="19"/>
              </w:rPr>
              <w:t>Revision date (Document tab), written out as a date.</w:t>
            </w:r>
          </w:p>
        </w:tc>
      </w:tr>
      <w:tr>
        <w:trPr>
          <w:cantSplit w:val="true"/>
        </w:trPr>
        <w:tc>
          <w:tcPr>
            <w:tcW w:type="dxa" w:w="2538"/>
          </w:tcPr>
          <w:p>
            <w:pPr>
              <w:spacing w:after="0"/>
            </w:pPr>
            <w:r>
              <w:rPr>
                <w:rFonts w:ascii="Consolas" w:hAnsi="Consolas" w:eastAsia="Consolas"/>
                <w:b w:val="0"/>
                <w:i w:val="0"/>
                <w:sz w:val="17"/>
                <w:shd w:val="clear" w:color="auto" w:fill="EEF1F6"/>
              </w:rPr>
              <w:t>wu-make</w:t>
            </w:r>
          </w:p>
        </w:tc>
        <w:tc>
          <w:tcPr>
            <w:tcW w:type="dxa" w:w="7110"/>
          </w:tcPr>
          <w:p>
            <w:pPr>
              <w:spacing w:after="0"/>
            </w:pPr>
            <w:r>
              <w:rPr>
                <w:b w:val="0"/>
                <w:i w:val="0"/>
                <w:sz w:val="19"/>
              </w:rPr>
              <w:t>Aircraft make.</w:t>
            </w:r>
          </w:p>
        </w:tc>
      </w:tr>
      <w:tr>
        <w:trPr>
          <w:cantSplit w:val="true"/>
        </w:trPr>
        <w:tc>
          <w:tcPr>
            <w:tcW w:type="dxa" w:w="2538"/>
          </w:tcPr>
          <w:p>
            <w:pPr>
              <w:spacing w:after="0"/>
            </w:pPr>
            <w:r>
              <w:rPr>
                <w:rFonts w:ascii="Consolas" w:hAnsi="Consolas" w:eastAsia="Consolas"/>
                <w:b w:val="0"/>
                <w:i w:val="0"/>
                <w:sz w:val="17"/>
                <w:shd w:val="clear" w:color="auto" w:fill="EEF1F6"/>
              </w:rPr>
              <w:t>wu-model</w:t>
            </w:r>
          </w:p>
        </w:tc>
        <w:tc>
          <w:tcPr>
            <w:tcW w:type="dxa" w:w="7110"/>
          </w:tcPr>
          <w:p>
            <w:pPr>
              <w:spacing w:after="0"/>
            </w:pPr>
            <w:r>
              <w:rPr>
                <w:b w:val="0"/>
                <w:i w:val="0"/>
                <w:sz w:val="19"/>
              </w:rPr>
              <w:t>Aircraft model.</w:t>
            </w:r>
          </w:p>
        </w:tc>
      </w:tr>
      <w:tr>
        <w:trPr>
          <w:cantSplit w:val="true"/>
        </w:trPr>
        <w:tc>
          <w:tcPr>
            <w:tcW w:type="dxa" w:w="2538"/>
          </w:tcPr>
          <w:p>
            <w:pPr>
              <w:spacing w:after="0"/>
            </w:pPr>
            <w:r>
              <w:rPr>
                <w:rFonts w:ascii="Consolas" w:hAnsi="Consolas" w:eastAsia="Consolas"/>
                <w:b w:val="0"/>
                <w:i w:val="0"/>
                <w:sz w:val="17"/>
                <w:shd w:val="clear" w:color="auto" w:fill="EEF1F6"/>
              </w:rPr>
              <w:t>wu-designation</w:t>
            </w:r>
          </w:p>
        </w:tc>
        <w:tc>
          <w:tcPr>
            <w:tcW w:type="dxa" w:w="7110"/>
          </w:tcPr>
          <w:p>
            <w:pPr>
              <w:spacing w:after="0"/>
            </w:pPr>
            <w:r>
              <w:rPr>
                <w:b w:val="0"/>
                <w:i w:val="0"/>
                <w:sz w:val="19"/>
              </w:rPr>
              <w:t>Marketing designation.</w:t>
            </w:r>
          </w:p>
        </w:tc>
      </w:tr>
      <w:tr>
        <w:trPr>
          <w:cantSplit w:val="true"/>
        </w:trPr>
        <w:tc>
          <w:tcPr>
            <w:tcW w:type="dxa" w:w="2538"/>
          </w:tcPr>
          <w:p>
            <w:pPr>
              <w:spacing w:after="0"/>
            </w:pPr>
            <w:r>
              <w:rPr>
                <w:rFonts w:ascii="Consolas" w:hAnsi="Consolas" w:eastAsia="Consolas"/>
                <w:b w:val="0"/>
                <w:i w:val="0"/>
                <w:sz w:val="17"/>
                <w:shd w:val="clear" w:color="auto" w:fill="EEF1F6"/>
              </w:rPr>
              <w:t>wu-serial</w:t>
            </w:r>
          </w:p>
        </w:tc>
        <w:tc>
          <w:tcPr>
            <w:tcW w:type="dxa" w:w="7110"/>
          </w:tcPr>
          <w:p>
            <w:pPr>
              <w:spacing w:after="0"/>
            </w:pPr>
            <w:r>
              <w:rPr>
                <w:b w:val="0"/>
                <w:i w:val="0"/>
                <w:sz w:val="19"/>
              </w:rPr>
              <w:t>Aircraft serial number.</w:t>
            </w:r>
          </w:p>
        </w:tc>
      </w:tr>
      <w:tr>
        <w:trPr>
          <w:cantSplit w:val="true"/>
        </w:trPr>
        <w:tc>
          <w:tcPr>
            <w:tcW w:type="dxa" w:w="2538"/>
          </w:tcPr>
          <w:p>
            <w:pPr>
              <w:spacing w:after="0"/>
            </w:pPr>
            <w:r>
              <w:rPr>
                <w:rFonts w:ascii="Consolas" w:hAnsi="Consolas" w:eastAsia="Consolas"/>
                <w:b w:val="0"/>
                <w:i w:val="0"/>
                <w:sz w:val="17"/>
                <w:shd w:val="clear" w:color="auto" w:fill="EEF1F6"/>
              </w:rPr>
              <w:t>wu-flightphase</w:t>
            </w:r>
          </w:p>
        </w:tc>
        <w:tc>
          <w:tcPr>
            <w:tcW w:type="dxa" w:w="7110"/>
          </w:tcPr>
          <w:p>
            <w:pPr>
              <w:spacing w:after="0"/>
            </w:pPr>
            <w:r>
              <w:rPr>
                <w:b w:val="0"/>
                <w:i w:val="0"/>
                <w:sz w:val="19"/>
              </w:rPr>
              <w:t>Flight phase / scenario.</w:t>
            </w:r>
          </w:p>
        </w:tc>
      </w:tr>
      <w:tr>
        <w:trPr>
          <w:cantSplit w:val="true"/>
        </w:trPr>
        <w:tc>
          <w:tcPr>
            <w:tcW w:type="dxa" w:w="2538"/>
          </w:tcPr>
          <w:p>
            <w:pPr>
              <w:spacing w:after="0"/>
            </w:pPr>
            <w:r>
              <w:rPr>
                <w:rFonts w:ascii="Consolas" w:hAnsi="Consolas" w:eastAsia="Consolas"/>
                <w:b w:val="0"/>
                <w:i w:val="0"/>
                <w:sz w:val="17"/>
                <w:shd w:val="clear" w:color="auto" w:fill="EEF1F6"/>
              </w:rPr>
              <w:t>wu-interval</w:t>
            </w:r>
          </w:p>
        </w:tc>
        <w:tc>
          <w:tcPr>
            <w:tcW w:type="dxa" w:w="7110"/>
          </w:tcPr>
          <w:p>
            <w:pPr>
              <w:spacing w:after="0"/>
            </w:pPr>
            <w:r>
              <w:rPr>
                <w:b w:val="0"/>
                <w:i w:val="0"/>
                <w:sz w:val="19"/>
              </w:rPr>
              <w:t>Interval.</w:t>
            </w:r>
          </w:p>
        </w:tc>
      </w:tr>
      <w:tr>
        <w:trPr>
          <w:cantSplit w:val="true"/>
        </w:trPr>
        <w:tc>
          <w:tcPr>
            <w:tcW w:type="dxa" w:w="2538"/>
          </w:tcPr>
          <w:p>
            <w:pPr>
              <w:spacing w:after="0"/>
            </w:pPr>
            <w:r>
              <w:rPr>
                <w:rFonts w:ascii="Consolas" w:hAnsi="Consolas" w:eastAsia="Consolas"/>
                <w:b w:val="0"/>
                <w:i w:val="0"/>
                <w:sz w:val="17"/>
                <w:shd w:val="clear" w:color="auto" w:fill="EEF1F6"/>
              </w:rPr>
              <w:t>wu-references</w:t>
            </w:r>
          </w:p>
        </w:tc>
        <w:tc>
          <w:tcPr>
            <w:tcW w:type="dxa" w:w="7110"/>
          </w:tcPr>
          <w:p>
            <w:pPr>
              <w:spacing w:after="0"/>
            </w:pPr>
            <w:r>
              <w:rPr>
                <w:b w:val="0"/>
                <w:i w:val="0"/>
                <w:sz w:val="19"/>
              </w:rPr>
              <w:t>The numbered reference list (Document tab)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wu-tables</w:t>
            </w:r>
          </w:p>
        </w:tc>
        <w:tc>
          <w:tcPr>
            <w:tcW w:type="dxa" w:w="7110"/>
          </w:tcPr>
          <w:p>
            <w:pPr>
              <w:spacing w:after="0"/>
            </w:pPr>
            <w:r>
              <w:rPr>
                <w:b w:val="0"/>
                <w:i w:val="0"/>
                <w:sz w:val="19"/>
              </w:rPr>
              <w:t>Load Analysis Summary tables (AC and DC) of the Active Project, with their notes.</w:t>
            </w:r>
          </w:p>
        </w:tc>
      </w:tr>
      <w:tr>
        <w:trPr>
          <w:cantSplit w:val="true"/>
        </w:trPr>
        <w:tc>
          <w:tcPr>
            <w:tcW w:type="dxa" w:w="2538"/>
          </w:tcPr>
          <w:p>
            <w:pPr>
              <w:spacing w:after="0"/>
            </w:pPr>
            <w:r>
              <w:rPr>
                <w:rFonts w:ascii="Consolas" w:hAnsi="Consolas" w:eastAsia="Consolas"/>
                <w:b w:val="0"/>
                <w:i w:val="0"/>
                <w:sz w:val="17"/>
                <w:shd w:val="clear" w:color="auto" w:fill="EEF1F6"/>
              </w:rPr>
              <w:t>wu-pds</w:t>
            </w:r>
          </w:p>
        </w:tc>
        <w:tc>
          <w:tcPr>
            <w:tcW w:type="dxa" w:w="7110"/>
          </w:tcPr>
          <w:p>
            <w:pPr>
              <w:spacing w:after="0"/>
            </w:pPr>
            <w:r>
              <w:rPr>
                <w:b w:val="0"/>
                <w:i w:val="0"/>
                <w:sz w:val="19"/>
              </w:rPr>
              <w:t>Power Distribution Summary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wu-lad-horizontal</w:t>
            </w:r>
          </w:p>
        </w:tc>
        <w:tc>
          <w:tcPr>
            <w:tcW w:type="dxa" w:w="7110"/>
          </w:tcPr>
          <w:p>
            <w:pPr>
              <w:spacing w:after="0"/>
            </w:pPr>
            <w:r>
              <w:rPr>
                <w:b w:val="0"/>
                <w:i w:val="0"/>
                <w:sz w:val="19"/>
              </w:rPr>
              <w:t>Load Analysis Detail, horizontal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wu-lad-vertical</w:t>
            </w:r>
          </w:p>
        </w:tc>
        <w:tc>
          <w:tcPr>
            <w:tcW w:type="dxa" w:w="7110"/>
          </w:tcPr>
          <w:p>
            <w:pPr>
              <w:spacing w:after="0"/>
            </w:pPr>
            <w:r>
              <w:rPr>
                <w:b w:val="0"/>
                <w:i w:val="0"/>
                <w:sz w:val="19"/>
              </w:rPr>
              <w:t>Load Analysis Detail, vertical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wu-references-pcm</w:t>
            </w:r>
            <w:r>
              <w:rPr>
                <w:b w:val="0"/>
                <w:i w:val="0"/>
                <w:sz w:val="19"/>
              </w:rPr>
              <w:t xml:space="preserve">, </w:t>
            </w:r>
            <w:r>
              <w:rPr>
                <w:rFonts w:ascii="Consolas" w:hAnsi="Consolas" w:eastAsia="Consolas"/>
                <w:b w:val="0"/>
                <w:i w:val="0"/>
                <w:sz w:val="17"/>
                <w:shd w:val="clear" w:color="auto" w:fill="EEF1F6"/>
              </w:rPr>
              <w:t>wu-tables-pcm</w:t>
            </w:r>
            <w:r>
              <w:rPr>
                <w:b w:val="0"/>
                <w:i w:val="0"/>
                <w:sz w:val="19"/>
              </w:rPr>
              <w:t xml:space="preserve">, </w:t>
            </w:r>
            <w:r>
              <w:rPr>
                <w:rFonts w:ascii="Consolas" w:hAnsi="Consolas" w:eastAsia="Consolas"/>
                <w:b w:val="0"/>
                <w:i w:val="0"/>
                <w:sz w:val="17"/>
                <w:shd w:val="clear" w:color="auto" w:fill="EEF1F6"/>
              </w:rPr>
              <w:t>wu-pds-pcm</w:t>
            </w:r>
            <w:r>
              <w:rPr>
                <w:b w:val="0"/>
                <w:i w:val="0"/>
                <w:sz w:val="19"/>
              </w:rPr>
              <w:t xml:space="preserve">, </w:t>
            </w:r>
            <w:r>
              <w:rPr>
                <w:rFonts w:ascii="Consolas" w:hAnsi="Consolas" w:eastAsia="Consolas"/>
                <w:b w:val="0"/>
                <w:i w:val="0"/>
                <w:sz w:val="17"/>
                <w:shd w:val="clear" w:color="auto" w:fill="EEF1F6"/>
              </w:rPr>
              <w:t>wu-lad-horizontal-pcm</w:t>
            </w:r>
            <w:r>
              <w:rPr>
                <w:b w:val="0"/>
                <w:i w:val="0"/>
                <w:sz w:val="19"/>
              </w:rPr>
              <w:t xml:space="preserve">, </w:t>
            </w:r>
            <w:r>
              <w:rPr>
                <w:rFonts w:ascii="Consolas" w:hAnsi="Consolas" w:eastAsia="Consolas"/>
                <w:b w:val="0"/>
                <w:i w:val="0"/>
                <w:sz w:val="17"/>
                <w:shd w:val="clear" w:color="auto" w:fill="EEF1F6"/>
              </w:rPr>
              <w:t>wu-lad-vertical-pcm</w:t>
            </w:r>
          </w:p>
        </w:tc>
        <w:tc>
          <w:tcPr>
            <w:tcW w:type="dxa" w:w="7110"/>
          </w:tcPr>
          <w:p>
            <w:pPr>
              <w:spacing w:after="0"/>
            </w:pPr>
            <w:r>
              <w:rPr>
                <w:b w:val="0"/>
                <w:i w:val="0"/>
                <w:sz w:val="19"/>
              </w:rPr>
              <w:t xml:space="preserve">The same five report sections for the </w:t>
            </w:r>
            <w:r>
              <w:rPr>
                <w:b/>
                <w:i w:val="0"/>
                <w:sz w:val="19"/>
              </w:rPr>
              <w:t>Previous &amp; Concurrent Modifications</w:t>
            </w:r>
            <w:r>
              <w:rPr>
                <w:b w:val="0"/>
                <w:i w:val="0"/>
                <w:sz w:val="19"/>
              </w:rPr>
              <w:t xml:space="preserve"> analysis (a short "no data" note when that analysis doesn't exist).</w:t>
            </w:r>
          </w:p>
        </w:tc>
      </w:tr>
    </w:tbl>
    <w:p>
      <w:pPr>
        <w:spacing w:after="40"/>
      </w:pPr>
    </w:p>
    <w:p>
      <w:r>
        <w:rPr>
          <w:b w:val="0"/>
          <w:i w:val="0"/>
        </w:rPr>
        <w:t xml:space="preserve">The report sections follow the report choices in </w:t>
      </w:r>
      <w:r>
        <w:rPr>
          <w:b/>
          <w:i w:val="0"/>
        </w:rPr>
        <w:t>Settings</w:t>
      </w:r>
      <w:r>
        <w:rPr>
          <w:b w:val="0"/>
          <w:i w:val="0"/>
        </w:rPr>
        <w:t xml:space="preserve"> (columns, rounding, layout options) and show change-tracking underlines when tracking is on (§9). Watts Up also keeps these Word document properties up to date when the document has them (File ▸ Info ▸ Properties ▸ Advanced ▸ Custom): </w:t>
      </w:r>
      <w:r>
        <w:rPr>
          <w:rFonts w:ascii="Consolas" w:hAnsi="Consolas" w:eastAsia="Consolas"/>
          <w:b w:val="0"/>
          <w:i w:val="0"/>
          <w:sz w:val="19"/>
          <w:shd w:val="clear" w:color="auto" w:fill="EEF1F6"/>
        </w:rPr>
        <w:t>ReportNo</w:t>
      </w:r>
      <w:r>
        <w:rPr>
          <w:b w:val="0"/>
          <w:i w:val="0"/>
        </w:rPr>
        <w:t xml:space="preserve">, </w:t>
      </w:r>
      <w:r>
        <w:rPr>
          <w:rFonts w:ascii="Consolas" w:hAnsi="Consolas" w:eastAsia="Consolas"/>
          <w:b w:val="0"/>
          <w:i w:val="0"/>
          <w:sz w:val="19"/>
          <w:shd w:val="clear" w:color="auto" w:fill="EEF1F6"/>
        </w:rPr>
        <w:t>ReportRev</w:t>
      </w:r>
      <w:r>
        <w:rPr>
          <w:b w:val="0"/>
          <w:i w:val="0"/>
        </w:rPr>
        <w:t xml:space="preserve">, </w:t>
      </w:r>
      <w:r>
        <w:rPr>
          <w:rFonts w:ascii="Consolas" w:hAnsi="Consolas" w:eastAsia="Consolas"/>
          <w:b w:val="0"/>
          <w:i w:val="0"/>
          <w:sz w:val="19"/>
          <w:shd w:val="clear" w:color="auto" w:fill="EEF1F6"/>
        </w:rPr>
        <w:t>Make</w:t>
      </w:r>
      <w:r>
        <w:rPr>
          <w:b w:val="0"/>
          <w:i w:val="0"/>
        </w:rPr>
        <w:t xml:space="preserve">, </w:t>
      </w:r>
      <w:r>
        <w:rPr>
          <w:rFonts w:ascii="Consolas" w:hAnsi="Consolas" w:eastAsia="Consolas"/>
          <w:b w:val="0"/>
          <w:i w:val="0"/>
          <w:sz w:val="19"/>
          <w:shd w:val="clear" w:color="auto" w:fill="EEF1F6"/>
        </w:rPr>
        <w:t>Model</w:t>
      </w:r>
      <w:r>
        <w:rPr>
          <w:b w:val="0"/>
          <w:i w:val="0"/>
        </w:rPr>
        <w:t xml:space="preserve">, </w:t>
      </w:r>
      <w:r>
        <w:rPr>
          <w:rFonts w:ascii="Consolas" w:hAnsi="Consolas" w:eastAsia="Consolas"/>
          <w:b w:val="0"/>
          <w:i w:val="0"/>
          <w:sz w:val="19"/>
          <w:shd w:val="clear" w:color="auto" w:fill="EEF1F6"/>
        </w:rPr>
        <w:t>S/N</w:t>
      </w:r>
      <w:r>
        <w:rPr>
          <w:b w:val="0"/>
          <w:i w:val="0"/>
        </w:rPr>
        <w:t xml:space="preserve">, </w:t>
      </w:r>
      <w:r>
        <w:rPr>
          <w:rFonts w:ascii="Consolas" w:hAnsi="Consolas" w:eastAsia="Consolas"/>
          <w:b w:val="0"/>
          <w:i w:val="0"/>
          <w:sz w:val="19"/>
          <w:shd w:val="clear" w:color="auto" w:fill="EEF1F6"/>
        </w:rPr>
        <w:t>Flight Phase</w:t>
      </w:r>
      <w:r>
        <w:rPr>
          <w:b w:val="0"/>
          <w:i w:val="0"/>
        </w:rPr>
        <w:t xml:space="preserve"> and </w:t>
      </w:r>
      <w:r>
        <w:rPr>
          <w:rFonts w:ascii="Consolas" w:hAnsi="Consolas" w:eastAsia="Consolas"/>
          <w:b w:val="0"/>
          <w:i w:val="0"/>
          <w:sz w:val="19"/>
          <w:shd w:val="clear" w:color="auto" w:fill="EEF1F6"/>
        </w:rPr>
        <w:t>WattsUpVersion</w:t>
      </w:r>
      <w:r>
        <w:rPr>
          <w:b w:val="0"/>
          <w:i w:val="0"/>
        </w:rPr>
        <w:t>.</w:t>
      </w:r>
    </w:p>
    <w:p>
      <w:pPr>
        <w:pStyle w:val="Heading3"/>
      </w:pPr>
      <w:r>
        <w:rPr>
          <w:b w:val="0"/>
          <w:i w:val="0"/>
        </w:rPr>
        <w:t>7.5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7.6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377"/>
            <w:shd w:val="clear" w:color="auto" w:fill="D9E2F3"/>
          </w:tcPr>
          <w:p>
            <w:pPr>
              <w:spacing w:after="0"/>
            </w:pPr>
            <w:r>
              <w:rPr>
                <w:b/>
                <w:i w:val="0"/>
                <w:sz w:val="19"/>
              </w:rPr>
              <w:t>Situation</w:t>
            </w:r>
          </w:p>
        </w:tc>
        <w:tc>
          <w:tcPr>
            <w:tcW w:type="dxa" w:w="6271"/>
            <w:shd w:val="clear" w:color="auto" w:fill="D9E2F3"/>
          </w:tcPr>
          <w:p>
            <w:pPr>
              <w:spacing w:after="0"/>
            </w:pPr>
            <w:r>
              <w:rPr>
                <w:b/>
                <w:i w:val="0"/>
                <w:sz w:val="19"/>
              </w:rPr>
              <w:t>What to do</w:t>
            </w:r>
          </w:p>
        </w:tc>
      </w:tr>
      <w:tr>
        <w:trPr>
          <w:cantSplit w:val="true"/>
        </w:trPr>
        <w:tc>
          <w:tcPr>
            <w:tcW w:type="dxa" w:w="3377"/>
          </w:tcPr>
          <w:p>
            <w:pPr>
              <w:spacing w:after="0"/>
            </w:pPr>
            <w:r>
              <w:rPr>
                <w:b w:val="0"/>
                <w:i w:val="0"/>
                <w:sz w:val="19"/>
              </w:rPr>
              <w:t>"Import failed" or "refused" on opening a file</w:t>
            </w:r>
          </w:p>
        </w:tc>
        <w:tc>
          <w:tcPr>
            <w:tcW w:type="dxa" w:w="6271"/>
          </w:tcPr>
          <w:p>
            <w:pPr>
              <w:spacing w:after="0"/>
            </w:pPr>
            <w:r>
              <w:rPr>
                <w:b w:val="0"/>
                <w:i w:val="0"/>
                <w:sz w:val="19"/>
              </w:rPr>
              <w:t>The file is damaged, not from Watts Up, or edited by hand. Use an earlier copy.</w:t>
            </w:r>
          </w:p>
        </w:tc>
      </w:tr>
      <w:tr>
        <w:trPr>
          <w:cantSplit w:val="true"/>
        </w:trPr>
        <w:tc>
          <w:tcPr>
            <w:tcW w:type="dxa" w:w="3377"/>
          </w:tcPr>
          <w:p>
            <w:pPr>
              <w:spacing w:after="0"/>
            </w:pPr>
            <w:r>
              <w:rPr>
                <w:b w:val="0"/>
                <w:i w:val="0"/>
                <w:sz w:val="19"/>
              </w:rPr>
              <w:t>A Word sync says the file is probably open</w:t>
            </w:r>
          </w:p>
        </w:tc>
        <w:tc>
          <w:tcPr>
            <w:tcW w:type="dxa" w:w="6271"/>
          </w:tcPr>
          <w:p>
            <w:pPr>
              <w:spacing w:after="0"/>
            </w:pPr>
            <w:r>
              <w:rPr>
                <w:b w:val="0"/>
                <w:i w:val="0"/>
                <w:sz w:val="19"/>
              </w:rPr>
              <w:t>Close it in Word and try again.</w:t>
            </w:r>
          </w:p>
        </w:tc>
      </w:tr>
      <w:tr>
        <w:trPr>
          <w:cantSplit w:val="true"/>
        </w:trPr>
        <w:tc>
          <w:tcPr>
            <w:tcW w:type="dxa" w:w="3377"/>
          </w:tcPr>
          <w:p>
            <w:pPr>
              <w:spacing w:after="0"/>
            </w:pPr>
            <w:r>
              <w:rPr>
                <w:b w:val="0"/>
                <w:i w:val="0"/>
                <w:sz w:val="19"/>
              </w:rPr>
              <w:t>Word sync does nothing, says permission was not granted, or "Sync failed"</w:t>
            </w:r>
          </w:p>
        </w:tc>
        <w:tc>
          <w:tcPr>
            <w:tcW w:type="dxa" w:w="6271"/>
          </w:tcPr>
          <w:p>
            <w:pPr>
              <w:spacing w:after="0"/>
            </w:pPr>
            <w:r>
              <w:rPr>
                <w:b w:val="0"/>
                <w:i w:val="0"/>
                <w:sz w:val="19"/>
              </w:rPr>
              <w:t xml:space="preserve">Click </w:t>
            </w:r>
            <w:r>
              <w:rPr>
                <w:b/>
                <w:i w:val="0"/>
                <w:sz w:val="19"/>
              </w:rPr>
              <w:t>Sync to Report</w:t>
            </w:r>
            <w:r>
              <w:rPr>
                <w:b w:val="0"/>
                <w:i w:val="0"/>
                <w:sz w:val="19"/>
              </w:rPr>
              <w:t xml:space="preserve"> and answer the browser's permission prompt promptly (it only works shortly after the click). Then check that the Word file is closed in Word, is not read-only, has no hidden </w:t>
            </w:r>
            <w:r>
              <w:rPr>
                <w:rFonts w:ascii="Consolas" w:hAnsi="Consolas" w:eastAsia="Consolas"/>
                <w:b w:val="0"/>
                <w:i w:val="0"/>
                <w:sz w:val="17"/>
                <w:shd w:val="clear" w:color="auto" w:fill="EEF1F6"/>
              </w:rPr>
              <w:t>~$</w:t>
            </w:r>
            <w:r>
              <w:rPr>
                <w:b w:val="0"/>
                <w:i w:val="0"/>
                <w:sz w:val="19"/>
              </w:rPr>
              <w:t xml:space="preserve"> lock file beside it, is not being held by OneDrive or a virus scanner, and is on a drive you can write to; try a copy in a plain local folder such as </w:t>
            </w:r>
            <w:r>
              <w:rPr>
                <w:rFonts w:ascii="Consolas" w:hAnsi="Consolas" w:eastAsia="Consolas"/>
                <w:b w:val="0"/>
                <w:i w:val="0"/>
                <w:sz w:val="17"/>
                <w:shd w:val="clear" w:color="auto" w:fill="EEF1F6"/>
              </w:rPr>
              <w:t>C:\Temp</w:t>
            </w:r>
            <w:r>
              <w:rPr>
                <w:b w:val="0"/>
                <w:i w:val="0"/>
                <w:sz w:val="19"/>
              </w:rPr>
              <w:t xml:space="preserve">. Managed browsers can block file writes (look for "FileSystem" in </w:t>
            </w:r>
            <w:r>
              <w:rPr>
                <w:rFonts w:ascii="Consolas" w:hAnsi="Consolas" w:eastAsia="Consolas"/>
                <w:b w:val="0"/>
                <w:i w:val="0"/>
                <w:sz w:val="17"/>
                <w:shd w:val="clear" w:color="auto" w:fill="EEF1F6"/>
              </w:rPr>
              <w:t>chrome://policy</w:t>
            </w:r>
            <w:r>
              <w:rPr>
                <w:b w:val="0"/>
                <w:i w:val="0"/>
                <w:sz w:val="19"/>
              </w:rPr>
              <w:t xml:space="preserve"> or </w:t>
            </w:r>
            <w:r>
              <w:rPr>
                <w:rFonts w:ascii="Consolas" w:hAnsi="Consolas" w:eastAsia="Consolas"/>
                <w:b w:val="0"/>
                <w:i w:val="0"/>
                <w:sz w:val="17"/>
                <w:shd w:val="clear" w:color="auto" w:fill="EEF1F6"/>
              </w:rPr>
              <w:t>edge://policy</w:t>
            </w:r>
            <w:r>
              <w:rPr>
                <w:b w:val="0"/>
                <w:i w:val="0"/>
                <w:sz w:val="19"/>
              </w:rPr>
              <w:t>). Press F12 and open the Console to see the detail. Firefox and Safari cannot keep a live connection; use Chrome or Edge.</w:t>
            </w:r>
          </w:p>
        </w:tc>
      </w:tr>
      <w:tr>
        <w:trPr>
          <w:cantSplit w:val="true"/>
        </w:trPr>
        <w:tc>
          <w:tcPr>
            <w:tcW w:type="dxa" w:w="3377"/>
          </w:tcPr>
          <w:p>
            <w:pPr>
              <w:spacing w:after="0"/>
            </w:pPr>
            <w:r>
              <w:rPr>
                <w:b w:val="0"/>
                <w:i w:val="0"/>
                <w:sz w:val="19"/>
              </w:rPr>
              <w:t>Word functions say JSZip is not loaded</w:t>
            </w:r>
          </w:p>
        </w:tc>
        <w:tc>
          <w:tcPr>
            <w:tcW w:type="dxa" w:w="6271"/>
          </w:tcPr>
          <w:p>
            <w:pPr>
              <w:spacing w:after="0"/>
            </w:pPr>
            <w:r>
              <w:rPr>
                <w:b w:val="0"/>
                <w:i w:val="0"/>
                <w:sz w:val="19"/>
              </w:rPr>
              <w:t>Reload the page while online.</w:t>
            </w:r>
          </w:p>
        </w:tc>
      </w:tr>
      <w:tr>
        <w:trPr>
          <w:cantSplit w:val="true"/>
        </w:trPr>
        <w:tc>
          <w:tcPr>
            <w:tcW w:type="dxa" w:w="3377"/>
          </w:tcPr>
          <w:p>
            <w:pPr>
              <w:spacing w:after="0"/>
            </w:pPr>
            <w:r>
              <w:rPr>
                <w:b w:val="0"/>
                <w:i w:val="0"/>
                <w:sz w:val="19"/>
              </w:rPr>
              <w:t>Warning W3 on an item</w:t>
            </w:r>
          </w:p>
        </w:tc>
        <w:tc>
          <w:tcPr>
            <w:tcW w:type="dxa" w:w="6271"/>
          </w:tcPr>
          <w:p>
            <w:pPr>
              <w:spacing w:after="0"/>
            </w:pPr>
            <w:r>
              <w:rPr>
                <w:b w:val="0"/>
                <w:i w:val="0"/>
                <w:sz w:val="19"/>
              </w:rPr>
              <w:t>The new load exceeds the capacity. Check the capacity entry, the loads below it, or any override.</w:t>
            </w:r>
          </w:p>
        </w:tc>
      </w:tr>
      <w:tr>
        <w:trPr>
          <w:cantSplit w:val="true"/>
        </w:trPr>
        <w:tc>
          <w:tcPr>
            <w:tcW w:type="dxa" w:w="3377"/>
          </w:tcPr>
          <w:p>
            <w:pPr>
              <w:spacing w:after="0"/>
            </w:pPr>
            <w:r>
              <w:rPr>
                <w:b w:val="0"/>
                <w:i w:val="0"/>
                <w:sz w:val="19"/>
              </w:rPr>
              <w:t>A number you typed "disappeared"</w:t>
            </w:r>
          </w:p>
        </w:tc>
        <w:tc>
          <w:tcPr>
            <w:tcW w:type="dxa" w:w="6271"/>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377"/>
          </w:tcPr>
          <w:p>
            <w:pPr>
              <w:spacing w:after="0"/>
            </w:pPr>
            <w:r>
              <w:rPr>
                <w:b w:val="0"/>
                <w:i w:val="0"/>
                <w:sz w:val="19"/>
              </w:rPr>
              <w:t>"This file was repaired as it opened"</w:t>
            </w:r>
          </w:p>
        </w:tc>
        <w:tc>
          <w:tcPr>
            <w:tcW w:type="dxa" w:w="6271"/>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377"/>
          </w:tcPr>
          <w:p>
            <w:pPr>
              <w:spacing w:after="0"/>
            </w:pPr>
            <w:r>
              <w:rPr>
                <w:b w:val="0"/>
                <w:i w:val="0"/>
                <w:sz w:val="19"/>
              </w:rPr>
              <w:t>Work is missing after reopening the browser</w:t>
            </w:r>
          </w:p>
        </w:tc>
        <w:tc>
          <w:tcPr>
            <w:tcW w:type="dxa" w:w="6271"/>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377"/>
          </w:tcPr>
          <w:p>
            <w:pPr>
              <w:spacing w:after="0"/>
            </w:pPr>
            <w:r>
              <w:rPr>
                <w:b w:val="0"/>
                <w:i w:val="0"/>
                <w:sz w:val="19"/>
              </w:rPr>
              <w:t>The Open/Save dialogs look different</w:t>
            </w:r>
          </w:p>
        </w:tc>
        <w:tc>
          <w:tcPr>
            <w:tcW w:type="dxa" w:w="6271"/>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(v0.9.13)</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