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0.9.14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344"/>
            <w:shd w:val="clear" w:color="auto" w:fill="D9E2F3"/>
          </w:tcPr>
          <w:p>
            <w:pPr>
              <w:spacing w:after="0"/>
            </w:pPr>
            <w:r>
              <w:rPr>
                <w:b/>
                <w:i w:val="0"/>
                <w:sz w:val="19"/>
              </w:rPr>
              <w:t>Feature</w:t>
            </w:r>
          </w:p>
        </w:tc>
        <w:tc>
          <w:tcPr>
            <w:tcW w:type="dxa" w:w="3439"/>
            <w:shd w:val="clear" w:color="auto" w:fill="D9E2F3"/>
          </w:tcPr>
          <w:p>
            <w:pPr>
              <w:spacing w:after="0"/>
            </w:pPr>
            <w:r>
              <w:rPr>
                <w:b/>
                <w:i w:val="0"/>
                <w:sz w:val="19"/>
              </w:rPr>
              <w:t>Used for</w:t>
            </w:r>
          </w:p>
        </w:tc>
        <w:tc>
          <w:tcPr>
            <w:tcW w:type="dxa" w:w="3865"/>
            <w:shd w:val="clear" w:color="auto" w:fill="D9E2F3"/>
          </w:tcPr>
          <w:p>
            <w:pPr>
              <w:spacing w:after="0"/>
            </w:pPr>
            <w:r>
              <w:rPr>
                <w:b/>
                <w:i w:val="0"/>
                <w:sz w:val="19"/>
              </w:rPr>
              <w:t>Limits</w:t>
            </w:r>
          </w:p>
        </w:tc>
      </w:tr>
      <w:tr>
        <w:trPr>
          <w:cantSplit w:val="true"/>
        </w:trPr>
        <w:tc>
          <w:tcPr>
            <w:tcW w:type="dxa" w:w="234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439"/>
          </w:tcPr>
          <w:p>
            <w:pPr>
              <w:spacing w:after="0"/>
            </w:pPr>
            <w:r>
              <w:rPr>
                <w:b w:val="0"/>
                <w:i w:val="0"/>
                <w:sz w:val="19"/>
              </w:rPr>
              <w:t>Automatic save of the current project so it survives a page reload</w:t>
            </w:r>
          </w:p>
        </w:tc>
        <w:tc>
          <w:tcPr>
            <w:tcW w:type="dxa" w:w="3865"/>
          </w:tcPr>
          <w:p>
            <w:pPr>
              <w:spacing w:after="0"/>
            </w:pPr>
            <w:r>
              <w:rPr>
                <w:b w:val="0"/>
                <w:i w:val="0"/>
                <w:sz w:val="19"/>
              </w:rPr>
              <w:t>Per browser profile and per web origin; not encrypted</w:t>
            </w:r>
          </w:p>
        </w:tc>
      </w:tr>
      <w:tr>
        <w:trPr>
          <w:cantSplit w:val="true"/>
        </w:trPr>
        <w:tc>
          <w:tcPr>
            <w:tcW w:type="dxa" w:w="2344"/>
          </w:tcPr>
          <w:p>
            <w:pPr>
              <w:spacing w:after="0"/>
            </w:pPr>
            <w:r>
              <w:rPr>
                <w:rFonts w:ascii="Consolas" w:hAnsi="Consolas" w:eastAsia="Consolas"/>
                <w:b w:val="0"/>
                <w:i w:val="0"/>
                <w:sz w:val="17"/>
                <w:shd w:val="clear" w:color="auto" w:fill="EEF1F6"/>
              </w:rPr>
              <w:t>IndexedDB</w:t>
            </w:r>
            <w:r>
              <w:rPr>
                <w:b w:val="0"/>
                <w:i w:val="0"/>
                <w:sz w:val="19"/>
              </w:rPr>
              <w:t xml:space="preserve"> (database </w:t>
            </w:r>
            <w:r>
              <w:rPr>
                <w:rFonts w:ascii="Consolas" w:hAnsi="Consolas" w:eastAsia="Consolas"/>
                <w:b w:val="0"/>
                <w:i w:val="0"/>
                <w:sz w:val="17"/>
                <w:shd w:val="clear" w:color="auto" w:fill="EEF1F6"/>
              </w:rPr>
              <w:t>wattsup_files</w:t>
            </w:r>
            <w:r>
              <w:rPr>
                <w:b w:val="0"/>
                <w:i w:val="0"/>
                <w:sz w:val="19"/>
              </w:rPr>
              <w:t>)</w:t>
            </w:r>
          </w:p>
        </w:tc>
        <w:tc>
          <w:tcPr>
            <w:tcW w:type="dxa" w:w="3439"/>
          </w:tcPr>
          <w:p>
            <w:pPr>
              <w:spacing w:after="0"/>
            </w:pPr>
            <w:r>
              <w:rPr>
                <w:b w:val="0"/>
                <w:i w:val="0"/>
                <w:sz w:val="19"/>
              </w:rPr>
              <w:t>Remembers the last file the user opened or saved so the next file dialog opens in that folder</w:t>
            </w:r>
          </w:p>
        </w:tc>
        <w:tc>
          <w:tcPr>
            <w:tcW w:type="dxa" w:w="3865"/>
          </w:tcPr>
          <w:p>
            <w:pPr>
              <w:spacing w:after="0"/>
            </w:pPr>
            <w:r>
              <w:rPr>
                <w:b w:val="0"/>
                <w:i w:val="0"/>
                <w:sz w:val="19"/>
              </w:rPr>
              <w:t>Holds only a handle reference to that one file (no contents; it grants no access by itself); per browser profile and web origin; cleared with site data</w:t>
            </w:r>
          </w:p>
        </w:tc>
      </w:tr>
      <w:tr>
        <w:trPr>
          <w:cantSplit w:val="true"/>
        </w:trPr>
        <w:tc>
          <w:tcPr>
            <w:tcW w:type="dxa" w:w="234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439"/>
          </w:tcPr>
          <w:p>
            <w:pPr>
              <w:spacing w:after="0"/>
            </w:pPr>
            <w:r>
              <w:rPr>
                <w:b w:val="0"/>
                <w:i w:val="0"/>
                <w:sz w:val="19"/>
              </w:rPr>
              <w:t>Open/save project and Word files</w:t>
            </w:r>
          </w:p>
        </w:tc>
        <w:tc>
          <w:tcPr>
            <w:tcW w:type="dxa" w:w="3865"/>
          </w:tcPr>
          <w:p>
            <w:pPr>
              <w:spacing w:after="0"/>
            </w:pPr>
            <w:r>
              <w:rPr>
                <w:b w:val="0"/>
                <w:i w:val="0"/>
                <w:sz w:val="19"/>
              </w:rPr>
              <w:t>Only the files the user picks; a write permission prompt is shown; no folder access; no access outside the pick</w:t>
            </w:r>
          </w:p>
        </w:tc>
      </w:tr>
      <w:tr>
        <w:trPr>
          <w:cantSplit w:val="true"/>
        </w:trPr>
        <w:tc>
          <w:tcPr>
            <w:tcW w:type="dxa" w:w="234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439"/>
          </w:tcPr>
          <w:p>
            <w:pPr>
              <w:spacing w:after="0"/>
            </w:pPr>
            <w:r>
              <w:rPr>
                <w:b w:val="0"/>
                <w:i w:val="0"/>
                <w:sz w:val="19"/>
              </w:rPr>
              <w:t>Fallback downloads, the Help guide tab (built from text inside the file; no script in it), printing</w:t>
            </w:r>
          </w:p>
        </w:tc>
        <w:tc>
          <w:tcPr>
            <w:tcW w:type="dxa" w:w="3865"/>
          </w:tcPr>
          <w:p>
            <w:pPr>
              <w:spacing w:after="0"/>
            </w:pPr>
            <w:r>
              <w:rPr>
                <w:b w:val="0"/>
                <w:i w:val="0"/>
                <w:sz w:val="19"/>
              </w:rPr>
              <w:t>In-memory addresses only; standard browser behaviour</w:t>
            </w:r>
          </w:p>
        </w:tc>
      </w:tr>
      <w:tr>
        <w:trPr>
          <w:cantSplit w:val="true"/>
        </w:trPr>
        <w:tc>
          <w:tcPr>
            <w:tcW w:type="dxa" w:w="2344"/>
          </w:tcPr>
          <w:p>
            <w:pPr>
              <w:spacing w:after="0"/>
            </w:pPr>
            <w:r>
              <w:rPr>
                <w:b w:val="0"/>
                <w:i w:val="0"/>
                <w:sz w:val="19"/>
              </w:rPr>
              <w:t>JSZip (from the CDN)</w:t>
            </w:r>
          </w:p>
        </w:tc>
        <w:tc>
          <w:tcPr>
            <w:tcW w:type="dxa" w:w="3439"/>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865"/>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use beyond the one stored file reference (§3.3),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and an IndexedDB reference to the last picked file — no contents)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0.9.14 changed only report layout and formatting, change-tracking marks (a second copy of the project's items stored in the project file), the Word Report dialog, one grid focus handler, shared-TRU editing, a load-time data repair and a generated row note,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0.9.17, 765931 bytes):</w:t>
      </w:r>
      <w:r>
        <w:rPr>
          <w:b w:val="0"/>
          <w:i w:val="0"/>
        </w:rPr>
        <w:t xml:space="preserve"> </w:t>
      </w:r>
      <w:r>
        <w:rPr>
          <w:rFonts w:ascii="Consolas" w:hAnsi="Consolas" w:eastAsia="Consolas"/>
          <w:b w:val="0"/>
          <w:i w:val="0"/>
          <w:sz w:val="19"/>
          <w:shd w:val="clear" w:color="auto" w:fill="EEF1F6"/>
        </w:rPr>
        <w:t>b75a2a3f972542d561746771129ef137d05ad39bd6d267a7416eb15daa6b2700</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