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0.9.0 — released 2026-10-18.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Settings, Help, Exit (§6, §7, §5, §9).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Installed (or Removed) when clicked.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097"/>
            <w:shd w:val="clear" w:color="auto" w:fill="D9E2F3"/>
          </w:tcPr>
          <w:p>
            <w:pPr>
              <w:spacing w:after="0"/>
            </w:pPr>
            <w:r>
              <w:rPr>
                <w:b/>
                <w:i w:val="0"/>
                <w:sz w:val="19"/>
              </w:rPr>
              <w:t>Setting</w:t>
            </w:r>
          </w:p>
        </w:tc>
        <w:tc>
          <w:tcPr>
            <w:tcW w:type="dxa" w:w="6551"/>
            <w:shd w:val="clear" w:color="auto" w:fill="D9E2F3"/>
          </w:tcPr>
          <w:p>
            <w:pPr>
              <w:spacing w:after="0"/>
            </w:pPr>
            <w:r>
              <w:rPr>
                <w:b/>
                <w:i w:val="0"/>
                <w:sz w:val="19"/>
              </w:rPr>
              <w:t>What it does</w:t>
            </w:r>
          </w:p>
        </w:tc>
      </w:tr>
      <w:tr>
        <w:trPr>
          <w:cantSplit w:val="true"/>
        </w:trPr>
        <w:tc>
          <w:tcPr>
            <w:tcW w:type="dxa" w:w="3097"/>
          </w:tcPr>
          <w:p>
            <w:pPr>
              <w:spacing w:after="0"/>
            </w:pPr>
            <w:r>
              <w:rPr>
                <w:b/>
                <w:i w:val="0"/>
                <w:sz w:val="19"/>
              </w:rPr>
              <w:t>AC Summary — Columns to Include</w:t>
            </w:r>
          </w:p>
        </w:tc>
        <w:tc>
          <w:tcPr>
            <w:tcW w:type="dxa" w:w="6551"/>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3097"/>
          </w:tcPr>
          <w:p>
            <w:pPr>
              <w:spacing w:after="0"/>
            </w:pPr>
            <w:r>
              <w:rPr>
                <w:b/>
                <w:i w:val="0"/>
                <w:sz w:val="19"/>
              </w:rPr>
              <w:t>DC Summary — Columns to Include</w:t>
            </w:r>
          </w:p>
        </w:tc>
        <w:tc>
          <w:tcPr>
            <w:tcW w:type="dxa" w:w="6551"/>
          </w:tcPr>
          <w:p>
            <w:pPr>
              <w:spacing w:after="0"/>
            </w:pPr>
            <w:r>
              <w:rPr>
                <w:b w:val="0"/>
                <w:i w:val="0"/>
                <w:sz w:val="19"/>
              </w:rPr>
              <w:t>The same for DC: A and W.</w:t>
            </w:r>
          </w:p>
        </w:tc>
      </w:tr>
      <w:tr>
        <w:trPr>
          <w:cantSplit w:val="true"/>
        </w:trPr>
        <w:tc>
          <w:tcPr>
            <w:tcW w:type="dxa" w:w="3097"/>
          </w:tcPr>
          <w:p>
            <w:pPr>
              <w:spacing w:after="0"/>
            </w:pPr>
            <w:r>
              <w:rPr>
                <w:b/>
                <w:i w:val="0"/>
                <w:sz w:val="19"/>
              </w:rPr>
              <w:t>Show conversion input (IN) side with Net Change only</w:t>
            </w:r>
          </w:p>
        </w:tc>
        <w:tc>
          <w:tcPr>
            <w:tcW w:type="dxa" w:w="6551"/>
          </w:tcPr>
          <w:p>
            <w:pPr>
              <w:spacing w:after="0"/>
            </w:pPr>
            <w:r>
              <w:rPr>
                <w:b w:val="0"/>
                <w:i w:val="0"/>
                <w:sz w:val="19"/>
              </w:rPr>
              <w:t>By default a converter's input side shows values only under Net Change. Untick to show all columns.</w:t>
            </w:r>
          </w:p>
        </w:tc>
      </w:tr>
      <w:tr>
        <w:trPr>
          <w:cantSplit w:val="true"/>
        </w:trPr>
        <w:tc>
          <w:tcPr>
            <w:tcW w:type="dxa" w:w="3097"/>
          </w:tcPr>
          <w:p>
            <w:pPr>
              <w:spacing w:after="0"/>
            </w:pPr>
            <w:r>
              <w:rPr>
                <w:b/>
                <w:i w:val="0"/>
                <w:sz w:val="19"/>
              </w:rPr>
              <w:t>Vertical Load Analysis Detail — siblings per table</w:t>
            </w:r>
          </w:p>
        </w:tc>
        <w:tc>
          <w:tcPr>
            <w:tcW w:type="dxa" w:w="6551"/>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3 or 2 depending on the number of value columns. A set of phases is never split.</w:t>
            </w:r>
          </w:p>
        </w:tc>
      </w:tr>
      <w:tr>
        <w:trPr>
          <w:cantSplit w:val="true"/>
        </w:trPr>
        <w:tc>
          <w:tcPr>
            <w:tcW w:type="dxa" w:w="3097"/>
          </w:tcPr>
          <w:p>
            <w:pPr>
              <w:spacing w:after="0"/>
            </w:pPr>
            <w:r>
              <w:rPr>
                <w:b/>
                <w:i w:val="0"/>
                <w:sz w:val="19"/>
              </w:rPr>
              <w:t>…treat TRU outputs as siblings</w:t>
            </w:r>
          </w:p>
        </w:tc>
        <w:tc>
          <w:tcPr>
            <w:tcW w:type="dxa" w:w="6551"/>
          </w:tcPr>
          <w:p>
            <w:pPr>
              <w:spacing w:after="0"/>
            </w:pPr>
            <w:r>
              <w:rPr>
                <w:b w:val="0"/>
                <w:i w:val="0"/>
                <w:sz w:val="19"/>
              </w:rPr>
              <w:t>Show the DC outputs of several TRUs side by side in one table.</w:t>
            </w:r>
          </w:p>
        </w:tc>
      </w:tr>
      <w:tr>
        <w:trPr>
          <w:cantSplit w:val="true"/>
        </w:trPr>
        <w:tc>
          <w:tcPr>
            <w:tcW w:type="dxa" w:w="3097"/>
          </w:tcPr>
          <w:p>
            <w:pPr>
              <w:spacing w:after="0"/>
            </w:pPr>
            <w:r>
              <w:rPr>
                <w:b/>
                <w:i w:val="0"/>
                <w:sz w:val="19"/>
              </w:rPr>
              <w:t>…treat multiple top-level items as siblings</w:t>
            </w:r>
          </w:p>
        </w:tc>
        <w:tc>
          <w:tcPr>
            <w:tcW w:type="dxa" w:w="6551"/>
          </w:tcPr>
          <w:p>
            <w:pPr>
              <w:spacing w:after="0"/>
            </w:pPr>
            <w:r>
              <w:rPr>
                <w:b w:val="0"/>
                <w:i w:val="0"/>
                <w:sz w:val="19"/>
              </w:rPr>
              <w:t>Show several root items side by side.</w:t>
            </w:r>
          </w:p>
        </w:tc>
      </w:tr>
      <w:tr>
        <w:trPr>
          <w:cantSplit w:val="true"/>
        </w:trPr>
        <w:tc>
          <w:tcPr>
            <w:tcW w:type="dxa" w:w="3097"/>
          </w:tcPr>
          <w:p>
            <w:pPr>
              <w:spacing w:after="0"/>
            </w:pPr>
            <w:r>
              <w:rPr>
                <w:b/>
                <w:i w:val="0"/>
                <w:sz w:val="19"/>
              </w:rPr>
              <w:t>Table for each TRU output / top-level item</w:t>
            </w:r>
          </w:p>
        </w:tc>
        <w:tc>
          <w:tcPr>
            <w:tcW w:type="dxa" w:w="6551"/>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3097"/>
          </w:tcPr>
          <w:p>
            <w:pPr>
              <w:spacing w:after="0"/>
            </w:pPr>
            <w:r>
              <w:rPr>
                <w:b/>
                <w:i w:val="0"/>
                <w:sz w:val="19"/>
              </w:rPr>
              <w:t>Report rounding</w:t>
            </w:r>
          </w:p>
        </w:tc>
        <w:tc>
          <w:tcPr>
            <w:tcW w:type="dxa" w:w="6551"/>
          </w:tcPr>
          <w:p>
            <w:pPr>
              <w:spacing w:after="0"/>
            </w:pPr>
            <w:r>
              <w:rPr>
                <w:b w:val="0"/>
                <w:i/>
                <w:sz w:val="19"/>
              </w:rPr>
              <w:t>Significant digits</w:t>
            </w:r>
            <w:r>
              <w:rPr>
                <w:b w:val="0"/>
                <w:i w:val="0"/>
                <w:sz w:val="19"/>
              </w:rPr>
              <w:t xml:space="preserve"> (3, 4 or 5; the default is 4) or </w:t>
            </w:r>
            <w:r>
              <w:rPr>
                <w:b w:val="0"/>
                <w:i/>
                <w:sz w:val="19"/>
              </w:rPr>
              <w:t>Fixed decimal</w:t>
            </w:r>
            <w:r>
              <w:rPr>
                <w:b w:val="0"/>
                <w:i w:val="0"/>
                <w:sz w:val="19"/>
              </w:rPr>
              <w:t xml:space="preserve"> (nearest 0.001, 0.01, 0.1, 1 or 10). The smallest reported value is 0.001. Breaker/fuse ratings and power factors are not affected.</w:t>
            </w:r>
          </w:p>
        </w:tc>
      </w:tr>
      <w:tr>
        <w:trPr>
          <w:cantSplit w:val="true"/>
        </w:trPr>
        <w:tc>
          <w:tcPr>
            <w:tcW w:type="dxa" w:w="3097"/>
          </w:tcPr>
          <w:p>
            <w:pPr>
              <w:spacing w:after="0"/>
            </w:pPr>
            <w:r>
              <w:rPr>
                <w:b/>
                <w:i w:val="0"/>
                <w:sz w:val="19"/>
              </w:rPr>
              <w:t>VA calculation (whole project)</w:t>
            </w:r>
          </w:p>
        </w:tc>
        <w:tc>
          <w:tcPr>
            <w:tcW w:type="dxa" w:w="6551"/>
          </w:tcPr>
          <w:p>
            <w:pPr>
              <w:spacing w:after="0"/>
            </w:pPr>
            <w:r>
              <w:rPr>
                <w:b w:val="0"/>
                <w:i/>
                <w:sz w:val="19"/>
              </w:rPr>
              <w:t>Vector sum</w:t>
            </w:r>
            <w:r>
              <w:rPr>
                <w:b w:val="0"/>
                <w:i w:val="0"/>
                <w:sz w:val="19"/>
              </w:rPr>
              <w:t xml:space="preserve"> (default): VA is derived from the summed W and VAR. </w:t>
            </w:r>
            <w:r>
              <w:rPr>
                <w:b w:val="0"/>
                <w:i/>
                <w:sz w:val="19"/>
              </w:rPr>
              <w:t>Algebraic sum</w:t>
            </w:r>
            <w:r>
              <w:rPr>
                <w:b w:val="0"/>
                <w:i w:val="0"/>
                <w:sz w:val="19"/>
              </w:rPr>
              <w:t>: the VA of children is added directly.</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15"/>
            <w:shd w:val="clear" w:color="auto" w:fill="D9E2F3"/>
          </w:tcPr>
          <w:p>
            <w:pPr>
              <w:spacing w:after="0"/>
            </w:pPr>
            <w:r>
              <w:rPr>
                <w:b/>
                <w:i w:val="0"/>
                <w:sz w:val="19"/>
              </w:rPr>
              <w:t>Situation</w:t>
            </w:r>
          </w:p>
        </w:tc>
        <w:tc>
          <w:tcPr>
            <w:tcW w:type="dxa" w:w="6533"/>
            <w:shd w:val="clear" w:color="auto" w:fill="D9E2F3"/>
          </w:tcPr>
          <w:p>
            <w:pPr>
              <w:spacing w:after="0"/>
            </w:pPr>
            <w:r>
              <w:rPr>
                <w:b/>
                <w:i w:val="0"/>
                <w:sz w:val="19"/>
              </w:rPr>
              <w:t>What to do</w:t>
            </w:r>
          </w:p>
        </w:tc>
      </w:tr>
      <w:tr>
        <w:trPr>
          <w:cantSplit w:val="true"/>
        </w:trPr>
        <w:tc>
          <w:tcPr>
            <w:tcW w:type="dxa" w:w="3115"/>
          </w:tcPr>
          <w:p>
            <w:pPr>
              <w:spacing w:after="0"/>
            </w:pPr>
            <w:r>
              <w:rPr>
                <w:b w:val="0"/>
                <w:i w:val="0"/>
                <w:sz w:val="19"/>
              </w:rPr>
              <w:t>"Import failed" or "refused" on opening a file</w:t>
            </w:r>
          </w:p>
        </w:tc>
        <w:tc>
          <w:tcPr>
            <w:tcW w:type="dxa" w:w="6533"/>
          </w:tcPr>
          <w:p>
            <w:pPr>
              <w:spacing w:after="0"/>
            </w:pPr>
            <w:r>
              <w:rPr>
                <w:b w:val="0"/>
                <w:i w:val="0"/>
                <w:sz w:val="19"/>
              </w:rPr>
              <w:t>The file is damaged, not from Watts Up, or edited by hand. Use an earlier copy.</w:t>
            </w:r>
          </w:p>
        </w:tc>
      </w:tr>
      <w:tr>
        <w:trPr>
          <w:cantSplit w:val="true"/>
        </w:trPr>
        <w:tc>
          <w:tcPr>
            <w:tcW w:type="dxa" w:w="3115"/>
          </w:tcPr>
          <w:p>
            <w:pPr>
              <w:spacing w:after="0"/>
            </w:pPr>
            <w:r>
              <w:rPr>
                <w:b w:val="0"/>
                <w:i w:val="0"/>
                <w:sz w:val="19"/>
              </w:rPr>
              <w:t>A Word sync says the file is probably open</w:t>
            </w:r>
          </w:p>
        </w:tc>
        <w:tc>
          <w:tcPr>
            <w:tcW w:type="dxa" w:w="6533"/>
          </w:tcPr>
          <w:p>
            <w:pPr>
              <w:spacing w:after="0"/>
            </w:pPr>
            <w:r>
              <w:rPr>
                <w:b w:val="0"/>
                <w:i w:val="0"/>
                <w:sz w:val="19"/>
              </w:rPr>
              <w:t>Close it in Word and try again.</w:t>
            </w:r>
          </w:p>
        </w:tc>
      </w:tr>
      <w:tr>
        <w:trPr>
          <w:cantSplit w:val="true"/>
        </w:trPr>
        <w:tc>
          <w:tcPr>
            <w:tcW w:type="dxa" w:w="3115"/>
          </w:tcPr>
          <w:p>
            <w:pPr>
              <w:spacing w:after="0"/>
            </w:pPr>
            <w:r>
              <w:rPr>
                <w:b w:val="0"/>
                <w:i w:val="0"/>
                <w:sz w:val="19"/>
              </w:rPr>
              <w:t>Word functions say JSZip is not loaded</w:t>
            </w:r>
          </w:p>
        </w:tc>
        <w:tc>
          <w:tcPr>
            <w:tcW w:type="dxa" w:w="6533"/>
          </w:tcPr>
          <w:p>
            <w:pPr>
              <w:spacing w:after="0"/>
            </w:pPr>
            <w:r>
              <w:rPr>
                <w:b w:val="0"/>
                <w:i w:val="0"/>
                <w:sz w:val="19"/>
              </w:rPr>
              <w:t>Reload the page while online.</w:t>
            </w:r>
          </w:p>
        </w:tc>
      </w:tr>
      <w:tr>
        <w:trPr>
          <w:cantSplit w:val="true"/>
        </w:trPr>
        <w:tc>
          <w:tcPr>
            <w:tcW w:type="dxa" w:w="3115"/>
          </w:tcPr>
          <w:p>
            <w:pPr>
              <w:spacing w:after="0"/>
            </w:pPr>
            <w:r>
              <w:rPr>
                <w:b w:val="0"/>
                <w:i w:val="0"/>
                <w:sz w:val="19"/>
              </w:rPr>
              <w:t>Warning W3 on an item</w:t>
            </w:r>
          </w:p>
        </w:tc>
        <w:tc>
          <w:tcPr>
            <w:tcW w:type="dxa" w:w="6533"/>
          </w:tcPr>
          <w:p>
            <w:pPr>
              <w:spacing w:after="0"/>
            </w:pPr>
            <w:r>
              <w:rPr>
                <w:b w:val="0"/>
                <w:i w:val="0"/>
                <w:sz w:val="19"/>
              </w:rPr>
              <w:t>The new load exceeds the capacity. Check the capacity entry, the loads below it, or any override.</w:t>
            </w:r>
          </w:p>
        </w:tc>
      </w:tr>
      <w:tr>
        <w:trPr>
          <w:cantSplit w:val="true"/>
        </w:trPr>
        <w:tc>
          <w:tcPr>
            <w:tcW w:type="dxa" w:w="3115"/>
          </w:tcPr>
          <w:p>
            <w:pPr>
              <w:spacing w:after="0"/>
            </w:pPr>
            <w:r>
              <w:rPr>
                <w:b w:val="0"/>
                <w:i w:val="0"/>
                <w:sz w:val="19"/>
              </w:rPr>
              <w:t>A number you typed "disappeared"</w:t>
            </w:r>
          </w:p>
        </w:tc>
        <w:tc>
          <w:tcPr>
            <w:tcW w:type="dxa" w:w="6533"/>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15"/>
          </w:tcPr>
          <w:p>
            <w:pPr>
              <w:spacing w:after="0"/>
            </w:pPr>
            <w:r>
              <w:rPr>
                <w:b w:val="0"/>
                <w:i w:val="0"/>
                <w:sz w:val="19"/>
              </w:rPr>
              <w:t>Work is missing after reopening the browser</w:t>
            </w:r>
          </w:p>
        </w:tc>
        <w:tc>
          <w:tcPr>
            <w:tcW w:type="dxa" w:w="6533"/>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15"/>
          </w:tcPr>
          <w:p>
            <w:pPr>
              <w:spacing w:after="0"/>
            </w:pPr>
            <w:r>
              <w:rPr>
                <w:b w:val="0"/>
                <w:i w:val="0"/>
                <w:sz w:val="19"/>
              </w:rPr>
              <w:t>The Open/Save dialogs look different</w:t>
            </w:r>
          </w:p>
        </w:tc>
        <w:tc>
          <w:tcPr>
            <w:tcW w:type="dxa" w:w="6533"/>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(v0.9.0)</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