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GIF2TIFF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gif2tiff − create a TIFF file from a GIF87 format image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gif2tiff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input.gif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Gif2tiff</w:t>
            </w:r>
            <w:r w:rsidDel="00000000" w:rsidR="00000000" w:rsidRPr="00000000">
              <w:rPr>
                <w:rtl w:val="0"/>
              </w:rPr>
              <w:t xml:space="preserve"> converts a file in the GIF87 format to TIFF. The TIFF image is created as a palette image, with samples compressed with the Lempel-Ziv &amp; Welch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=5). These characteristics can overridden, or explicitly specified with the options described below.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the PackBits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the Deflate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 (the default).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program is based on Paul Haeberli’s </w:t>
            </w:r>
            <w:r w:rsidDel="00000000" w:rsidR="00000000" w:rsidRPr="00000000">
              <w:rPr>
                <w:i w:val="1"/>
                <w:rtl w:val="0"/>
              </w:rPr>
              <w:t xml:space="preserve">fromgif</w:t>
            </w:r>
            <w:r w:rsidDel="00000000" w:rsidR="00000000" w:rsidRPr="00000000">
              <w:rPr>
                <w:rtl w:val="0"/>
              </w:rPr>
              <w:t xml:space="preserve"> program which, in turn, is based on Marcel J.E. Mol’s GIF reader.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have more options to control output format.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http://www.remotesensing.org/libtiff/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