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TIFFClose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TIFFClose − close a previously opened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TIFFClose(TIFF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TIFFClose</w:t>
            </w:r>
            <w:r w:rsidDel="00000000" w:rsidR="00000000" w:rsidRPr="00000000">
              <w:rPr>
                <w:rtl w:val="0"/>
              </w:rPr>
              <w:t xml:space="preserve"> closes a file that was previously opened with </w:t>
            </w: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(3TIFF). Any buffered data are flushed to the file, including the contents of the current directory (if modified); and all resources are reclaimed.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routine. Likewise, warning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TIFFWarning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