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TIFFBUFFER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TIFFReadBufferSetup, TIFFWriteBufferSetup − I/O buffering control routines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#include &lt;tiffio.h&gt;</w:t>
              <w:br w:type="textWrapping"/>
              <w:br w:type="textWrapping"/>
              <w:t xml:space="preserve">int TIFFReadBufferSetup(TIFF *</w:t>
            </w:r>
            <w:r w:rsidDel="00000000" w:rsidR="00000000" w:rsidRPr="00000000">
              <w:rPr>
                <w:rFonts w:ascii="Courier" w:cs="Courier" w:eastAsia="Courier" w:hAnsi="Courier"/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i w:val="1"/>
                <w:rtl w:val="0"/>
              </w:rPr>
              <w:t xml:space="preserve">buffer</w:t>
            </w: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);</w:t>
              <w:br w:type="textWrapping"/>
              <w:t xml:space="preserve">int TIFFWriteBufferSetup(TIFF *</w:t>
            </w:r>
            <w:r w:rsidDel="00000000" w:rsidR="00000000" w:rsidRPr="00000000">
              <w:rPr>
                <w:rFonts w:ascii="Courier" w:cs="Courier" w:eastAsia="Courier" w:hAnsi="Courier"/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i w:val="1"/>
                <w:rtl w:val="0"/>
              </w:rPr>
              <w:t xml:space="preserve">buffer</w:t>
            </w: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);</w:t>
              <w:br w:type="textWrapping"/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following routines are provided for client-control of the I/O buffers used by the library. Applications need never use these routines; they are provided only for ‘‘intelligent clients’’ that wish to optimize memory usage and/or eliminate potential copy operations that can occur when working with images that have data stored without compression.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TIFFReadBufferSetup</w:t>
            </w:r>
            <w:r w:rsidDel="00000000" w:rsidR="00000000" w:rsidRPr="00000000">
              <w:rPr>
                <w:rtl w:val="0"/>
              </w:rPr>
              <w:t xml:space="preserve"> sets up the data buffer used to read raw (encoded) data from a file. If the specified pointer is NULL (zero), then a buffer of the appropriate size is allocated. Otherwise the caller must guarantee that the buffer is large enough to hold any individual strip of raw data. </w:t>
            </w:r>
            <w:r w:rsidDel="00000000" w:rsidR="00000000" w:rsidRPr="00000000">
              <w:rPr>
                <w:i w:val="1"/>
                <w:rtl w:val="0"/>
              </w:rPr>
              <w:t xml:space="preserve">TIFFReadBufferSetup</w:t>
            </w:r>
            <w:r w:rsidDel="00000000" w:rsidR="00000000" w:rsidRPr="00000000">
              <w:rPr>
                <w:rtl w:val="0"/>
              </w:rPr>
              <w:t xml:space="preserve"> returns a non-zero value if the setup was successful and zero otherwise.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TIFFWriteBufferSetup</w:t>
            </w:r>
            <w:r w:rsidDel="00000000" w:rsidR="00000000" w:rsidRPr="00000000">
              <w:rPr>
                <w:rtl w:val="0"/>
              </w:rPr>
              <w:t xml:space="preserve"> sets up the data buffer used to write raw (encoded) data to a file. If the specified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is −1 then the buffer size is selected to hold a complete tile or strip, or at least 8 kilobytes, whichever is greater. If the specified </w:t>
            </w:r>
            <w:r w:rsidDel="00000000" w:rsidR="00000000" w:rsidRPr="00000000">
              <w:rPr>
                <w:i w:val="1"/>
                <w:rtl w:val="0"/>
              </w:rPr>
              <w:t xml:space="preserve">buffer</w:t>
            </w:r>
            <w:r w:rsidDel="00000000" w:rsidR="00000000" w:rsidRPr="00000000">
              <w:rPr>
                <w:rtl w:val="0"/>
              </w:rPr>
              <w:t xml:space="preserve"> is NULL (zero), then a buffer of the appropriate size is dynamically allocated. </w:t>
            </w:r>
            <w:r w:rsidDel="00000000" w:rsidR="00000000" w:rsidRPr="00000000">
              <w:rPr>
                <w:i w:val="1"/>
                <w:rtl w:val="0"/>
              </w:rPr>
              <w:t xml:space="preserve">TIFFWriteBufferSetup</w:t>
            </w:r>
            <w:r w:rsidDel="00000000" w:rsidR="00000000" w:rsidRPr="00000000">
              <w:rPr>
                <w:rtl w:val="0"/>
              </w:rPr>
              <w:t xml:space="preserve"> returns a non-zero value if the setup was successful and zero otherwise.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No space for data buffer at scanline %ld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TIFFReadBufferSetup</w:t>
            </w:r>
            <w:r w:rsidDel="00000000" w:rsidR="00000000" w:rsidRPr="00000000">
              <w:rPr>
                <w:rtl w:val="0"/>
              </w:rPr>
              <w:t xml:space="preserve"> was unable to dynamically allocate space for a data buffer.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No space for output buffer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TIFFWriteBufferSetup</w:t>
            </w:r>
            <w:r w:rsidDel="00000000" w:rsidR="00000000" w:rsidRPr="00000000">
              <w:rPr>
                <w:rtl w:val="0"/>
              </w:rPr>
              <w:t xml:space="preserve"> was unable to dynamically allocate space for a data buffer.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