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08" w:rsidRDefault="00D05E08" w:rsidP="00D05E08">
      <w:pPr>
        <w:pStyle w:val="ListParagraph"/>
        <w:ind w:left="0" w:right="288"/>
        <w:rPr>
          <w:rFonts w:asciiTheme="minorHAnsi" w:eastAsia="Times New Roman" w:hAnsiTheme="minorHAnsi" w:cstheme="minorHAnsi"/>
          <w:b/>
          <w:color w:val="000000"/>
        </w:rPr>
      </w:pPr>
    </w:p>
    <w:p w:rsidR="00D05E08" w:rsidRPr="00E84800" w:rsidRDefault="00D05E08" w:rsidP="00D05E08">
      <w:pPr>
        <w:pStyle w:val="ListParagraph"/>
        <w:ind w:left="0" w:right="288"/>
        <w:rPr>
          <w:rFonts w:asciiTheme="minorHAnsi" w:hAnsiTheme="minorHAnsi" w:cstheme="minorHAnsi"/>
          <w:i/>
        </w:rPr>
      </w:pPr>
    </w:p>
    <w:p w:rsidR="00D05E08" w:rsidRPr="00E84800" w:rsidRDefault="00D05E08" w:rsidP="00D05E08">
      <w:pPr>
        <w:pStyle w:val="ListParagraph"/>
        <w:ind w:left="0" w:righ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6957D" wp14:editId="7FB1DD35">
                <wp:simplePos x="0" y="0"/>
                <wp:positionH relativeFrom="column">
                  <wp:posOffset>95250</wp:posOffset>
                </wp:positionH>
                <wp:positionV relativeFrom="paragraph">
                  <wp:posOffset>323850</wp:posOffset>
                </wp:positionV>
                <wp:extent cx="920750" cy="241300"/>
                <wp:effectExtent l="0" t="0" r="0" b="6350"/>
                <wp:wrapNone/>
                <wp:docPr id="14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7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E08" w:rsidRPr="00AF1A31" w:rsidRDefault="00D05E08" w:rsidP="00D05E0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F1A31">
                              <w:rPr>
                                <w:rFonts w:asciiTheme="minorHAnsi" w:hAnsi="Calibri" w:cstheme="minorBidi"/>
                                <w:b/>
                                <w:color w:val="000000" w:themeColor="dark1"/>
                                <w:sz w:val="18"/>
                                <w:szCs w:val="18"/>
                              </w:rPr>
                              <w:t>US$ Millions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7.5pt;margin-top:25.5pt;width:72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" fillcolor="white [3201]" stroked="f">
                <v:path arrowok="t"/>
                <v:textbox>
                  <w:txbxContent>
                    <w:p w:rsidR="00D05E08" w:rsidRPr="00AF1A31" w:rsidRDefault="00D05E08" w:rsidP="00D05E0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8"/>
                          <w:szCs w:val="18"/>
                        </w:rPr>
                      </w:pPr>
                      <w:r w:rsidRPr="00AF1A31">
                        <w:rPr>
                          <w:rFonts w:asciiTheme="minorHAnsi" w:hAnsi="Calibri" w:cstheme="minorBidi"/>
                          <w:b/>
                          <w:color w:val="000000" w:themeColor="dark1"/>
                          <w:sz w:val="18"/>
                          <w:szCs w:val="18"/>
                        </w:rPr>
                        <w:t>US$ Millions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E84800">
        <w:rPr>
          <w:rFonts w:asciiTheme="minorHAnsi" w:hAnsiTheme="minorHAnsi" w:cstheme="minorHAnsi"/>
          <w:noProof/>
          <w:sz w:val="16"/>
          <w:szCs w:val="16"/>
          <w:lang w:val="en-IN" w:eastAsia="en-IN"/>
        </w:rPr>
        <w:drawing>
          <wp:inline distT="0" distB="0" distL="0" distR="0" wp14:anchorId="658043AC" wp14:editId="04B0FC6C">
            <wp:extent cx="4492487" cy="1765189"/>
            <wp:effectExtent l="0" t="0" r="22860" b="260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CB1DD6" w:rsidRDefault="00CB1DD6"/>
    <w:sectPr w:rsidR="00CB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08"/>
    <w:rsid w:val="0079397A"/>
    <w:rsid w:val="00966AE7"/>
    <w:rsid w:val="00CB1DD6"/>
    <w:rsid w:val="00D0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8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8"/>
    <w:pPr>
      <w:ind w:left="720"/>
      <w:contextualSpacing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05E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E08"/>
    <w:rPr>
      <w:rFonts w:ascii="Tahoma" w:eastAsiaTheme="minorEastAsi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8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8"/>
    <w:pPr>
      <w:ind w:left="720"/>
      <w:contextualSpacing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05E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E08"/>
    <w:rPr>
      <w:rFonts w:ascii="Tahoma" w:eastAsiaTheme="minorEastAsi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fs1\ead\sheena\compensatory%20finance\analysis%20mechanis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'MDB RDB Lending'!$A$20</c:f>
              <c:strCache>
                <c:ptCount val="1"/>
                <c:pt idx="0">
                  <c:v>WB</c:v>
                </c:pt>
              </c:strCache>
            </c:strRef>
          </c:tx>
          <c:invertIfNegative val="0"/>
          <c:cat>
            <c:numRef>
              <c:f>'MDB RDB Lending'!$B$19:$G$19</c:f>
              <c:numCache>
                <c:formatCode>General</c:formatCode>
                <c:ptCount val="6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</c:numCache>
            </c:numRef>
          </c:cat>
          <c:val>
            <c:numRef>
              <c:f>'MDB RDB Lending'!$B$20:$G$20</c:f>
              <c:numCache>
                <c:formatCode>#,##0</c:formatCode>
                <c:ptCount val="6"/>
                <c:pt idx="0">
                  <c:v>9506</c:v>
                </c:pt>
                <c:pt idx="1">
                  <c:v>11867</c:v>
                </c:pt>
                <c:pt idx="2">
                  <c:v>11235</c:v>
                </c:pt>
                <c:pt idx="3">
                  <c:v>14041</c:v>
                </c:pt>
                <c:pt idx="4">
                  <c:v>14550</c:v>
                </c:pt>
                <c:pt idx="5">
                  <c:v>16269</c:v>
                </c:pt>
              </c:numCache>
            </c:numRef>
          </c:val>
        </c:ser>
        <c:ser>
          <c:idx val="1"/>
          <c:order val="1"/>
          <c:tx>
            <c:strRef>
              <c:f>'MDB RDB Lending'!$A$21</c:f>
              <c:strCache>
                <c:ptCount val="1"/>
                <c:pt idx="0">
                  <c:v>IMF</c:v>
                </c:pt>
              </c:strCache>
            </c:strRef>
          </c:tx>
          <c:invertIfNegative val="0"/>
          <c:cat>
            <c:numRef>
              <c:f>'MDB RDB Lending'!$B$19:$G$19</c:f>
              <c:numCache>
                <c:formatCode>General</c:formatCode>
                <c:ptCount val="6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</c:numCache>
            </c:numRef>
          </c:cat>
          <c:val>
            <c:numRef>
              <c:f>'MDB RDB Lending'!$B$21:$G$21</c:f>
              <c:numCache>
                <c:formatCode>#,##0</c:formatCode>
                <c:ptCount val="6"/>
                <c:pt idx="0">
                  <c:v>195.28795890778051</c:v>
                </c:pt>
                <c:pt idx="1">
                  <c:v>549.53123320561349</c:v>
                </c:pt>
                <c:pt idx="2">
                  <c:v>657.01530361222171</c:v>
                </c:pt>
                <c:pt idx="3">
                  <c:v>1451.79188056249</c:v>
                </c:pt>
                <c:pt idx="4">
                  <c:v>2968.6797474275731</c:v>
                </c:pt>
                <c:pt idx="5">
                  <c:v>1625.8857974182631</c:v>
                </c:pt>
              </c:numCache>
            </c:numRef>
          </c:val>
        </c:ser>
        <c:ser>
          <c:idx val="2"/>
          <c:order val="2"/>
          <c:tx>
            <c:strRef>
              <c:f>'MDB RDB Lending'!$A$22</c:f>
              <c:strCache>
                <c:ptCount val="1"/>
                <c:pt idx="0">
                  <c:v>IADB</c:v>
                </c:pt>
              </c:strCache>
            </c:strRef>
          </c:tx>
          <c:invertIfNegative val="0"/>
          <c:cat>
            <c:numRef>
              <c:f>'MDB RDB Lending'!$B$19:$G$19</c:f>
              <c:numCache>
                <c:formatCode>General</c:formatCode>
                <c:ptCount val="6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</c:numCache>
            </c:numRef>
          </c:cat>
          <c:val>
            <c:numRef>
              <c:f>'MDB RDB Lending'!$B$22:$G$22</c:f>
              <c:numCache>
                <c:formatCode>#,##0</c:formatCode>
                <c:ptCount val="6"/>
                <c:pt idx="0">
                  <c:v>605</c:v>
                </c:pt>
                <c:pt idx="1">
                  <c:v>152</c:v>
                </c:pt>
                <c:pt idx="2">
                  <c:v>138</c:v>
                </c:pt>
                <c:pt idx="3">
                  <c:v>228</c:v>
                </c:pt>
                <c:pt idx="4">
                  <c:v>297</c:v>
                </c:pt>
                <c:pt idx="5">
                  <c:v>181</c:v>
                </c:pt>
              </c:numCache>
            </c:numRef>
          </c:val>
        </c:ser>
        <c:ser>
          <c:idx val="3"/>
          <c:order val="3"/>
          <c:tx>
            <c:strRef>
              <c:f>'MDB RDB Lending'!$A$23</c:f>
              <c:strCache>
                <c:ptCount val="1"/>
                <c:pt idx="0">
                  <c:v>AsDB</c:v>
                </c:pt>
              </c:strCache>
            </c:strRef>
          </c:tx>
          <c:invertIfNegative val="0"/>
          <c:cat>
            <c:numRef>
              <c:f>'MDB RDB Lending'!$B$19:$G$19</c:f>
              <c:numCache>
                <c:formatCode>General</c:formatCode>
                <c:ptCount val="6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</c:numCache>
            </c:numRef>
          </c:cat>
          <c:val>
            <c:numRef>
              <c:f>'MDB RDB Lending'!$B$23:$G$23</c:f>
              <c:numCache>
                <c:formatCode>#,##0</c:formatCode>
                <c:ptCount val="6"/>
                <c:pt idx="0">
                  <c:v>1802</c:v>
                </c:pt>
                <c:pt idx="1">
                  <c:v>2566</c:v>
                </c:pt>
                <c:pt idx="2">
                  <c:v>2471</c:v>
                </c:pt>
                <c:pt idx="3">
                  <c:v>3134</c:v>
                </c:pt>
                <c:pt idx="4">
                  <c:v>3195</c:v>
                </c:pt>
                <c:pt idx="5">
                  <c:v>2569</c:v>
                </c:pt>
              </c:numCache>
            </c:numRef>
          </c:val>
        </c:ser>
        <c:ser>
          <c:idx val="4"/>
          <c:order val="4"/>
          <c:tx>
            <c:strRef>
              <c:f>'MDB RDB Lending'!$A$24</c:f>
              <c:strCache>
                <c:ptCount val="1"/>
                <c:pt idx="0">
                  <c:v>AfDB</c:v>
                </c:pt>
              </c:strCache>
            </c:strRef>
          </c:tx>
          <c:invertIfNegative val="0"/>
          <c:cat>
            <c:numRef>
              <c:f>'MDB RDB Lending'!$B$19:$G$19</c:f>
              <c:numCache>
                <c:formatCode>General</c:formatCode>
                <c:ptCount val="6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</c:numCache>
            </c:numRef>
          </c:cat>
          <c:val>
            <c:numRef>
              <c:f>'MDB RDB Lending'!$B$24:$G$24</c:f>
              <c:numCache>
                <c:formatCode>#,##0</c:formatCode>
                <c:ptCount val="6"/>
                <c:pt idx="0">
                  <c:v>2407.904</c:v>
                </c:pt>
                <c:pt idx="1">
                  <c:v>2447.42</c:v>
                </c:pt>
                <c:pt idx="2">
                  <c:v>2915.22</c:v>
                </c:pt>
                <c:pt idx="3">
                  <c:v>4236.8546000000024</c:v>
                </c:pt>
                <c:pt idx="4">
                  <c:v>2445.058</c:v>
                </c:pt>
                <c:pt idx="5">
                  <c:v>2985.5749999999998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51194368"/>
        <c:axId val="60740096"/>
        <c:axId val="0"/>
      </c:bar3DChart>
      <c:catAx>
        <c:axId val="5119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60740096"/>
        <c:crosses val="autoZero"/>
        <c:auto val="1"/>
        <c:lblAlgn val="ctr"/>
        <c:lblOffset val="100"/>
        <c:noMultiLvlLbl val="0"/>
      </c:catAx>
      <c:valAx>
        <c:axId val="60740096"/>
        <c:scaling>
          <c:orientation val="minMax"/>
        </c:scaling>
        <c:delete val="0"/>
        <c:axPos val="l"/>
        <c:majorGridlines/>
        <c:numFmt formatCode="#,##0" sourceLinked="1"/>
        <c:majorTickMark val="none"/>
        <c:minorTickMark val="none"/>
        <c:tickLblPos val="nextTo"/>
        <c:crossAx val="511943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2014-02-03T09:40:00Z</dcterms:created>
  <dcterms:modified xsi:type="dcterms:W3CDTF">2014-02-03T09:40:00Z</dcterms:modified>
</cp:coreProperties>
</file>