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BB2" w:rsidRPr="00766D19" w:rsidRDefault="00E91661" w:rsidP="005B7757">
      <w:r w:rsidRPr="00E91661">
        <w:drawing>
          <wp:inline distT="0" distB="0" distL="0" distR="0" wp14:anchorId="2930841C" wp14:editId="4548E20A">
            <wp:extent cx="4274288" cy="2030818"/>
            <wp:effectExtent l="0" t="0" r="12065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D4BB2" w:rsidRPr="00766D19"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E5C7312"/>
    <w:lvl w:ilvl="0">
      <w:start w:val="1"/>
      <w:numFmt w:val="bullet"/>
      <w:pStyle w:val="Heading1"/>
      <w:lvlText w:val=""/>
      <w:lvlJc w:val="left"/>
      <w:pPr>
        <w:tabs>
          <w:tab w:val="num" w:pos="623"/>
        </w:tabs>
        <w:ind w:left="623" w:firstLine="0"/>
      </w:pPr>
      <w:rPr>
        <w:rFonts w:ascii="Symbol" w:hAnsi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623"/>
        </w:tabs>
        <w:ind w:left="623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623"/>
        </w:tabs>
        <w:ind w:left="623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623"/>
        </w:tabs>
        <w:ind w:left="623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623"/>
        </w:tabs>
        <w:ind w:left="623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623"/>
        </w:tabs>
        <w:ind w:left="623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623"/>
        </w:tabs>
        <w:ind w:left="623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623"/>
        </w:tabs>
        <w:ind w:left="623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623"/>
        </w:tabs>
        <w:ind w:left="623" w:firstLine="0"/>
      </w:pPr>
    </w:lvl>
  </w:abstractNum>
  <w:abstractNum w:abstractNumId="1">
    <w:nsid w:val="064659D2"/>
    <w:multiLevelType w:val="hybridMultilevel"/>
    <w:tmpl w:val="4D68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23DA2"/>
    <w:multiLevelType w:val="hybridMultilevel"/>
    <w:tmpl w:val="591A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E1F61"/>
    <w:multiLevelType w:val="hybridMultilevel"/>
    <w:tmpl w:val="E984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14E13"/>
    <w:multiLevelType w:val="hybridMultilevel"/>
    <w:tmpl w:val="5F30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A2815"/>
    <w:multiLevelType w:val="hybridMultilevel"/>
    <w:tmpl w:val="C07CD200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>
    <w:nsid w:val="6D6B0024"/>
    <w:multiLevelType w:val="hybridMultilevel"/>
    <w:tmpl w:val="275E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361B3"/>
    <w:multiLevelType w:val="hybridMultilevel"/>
    <w:tmpl w:val="92B00F4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8">
    <w:nsid w:val="79933EDF"/>
    <w:multiLevelType w:val="hybridMultilevel"/>
    <w:tmpl w:val="3EB0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19"/>
    <w:rsid w:val="000B3B76"/>
    <w:rsid w:val="00242313"/>
    <w:rsid w:val="002A621F"/>
    <w:rsid w:val="002D4BB2"/>
    <w:rsid w:val="003137CE"/>
    <w:rsid w:val="003154C7"/>
    <w:rsid w:val="00494B46"/>
    <w:rsid w:val="004B7CE8"/>
    <w:rsid w:val="00541ED0"/>
    <w:rsid w:val="005725A4"/>
    <w:rsid w:val="005A3D3D"/>
    <w:rsid w:val="005B7757"/>
    <w:rsid w:val="005C07E4"/>
    <w:rsid w:val="00645CA2"/>
    <w:rsid w:val="006912CB"/>
    <w:rsid w:val="006D72A2"/>
    <w:rsid w:val="00766D19"/>
    <w:rsid w:val="0077104A"/>
    <w:rsid w:val="007E055F"/>
    <w:rsid w:val="008172F4"/>
    <w:rsid w:val="00852BB1"/>
    <w:rsid w:val="008653C3"/>
    <w:rsid w:val="00A02707"/>
    <w:rsid w:val="00A44646"/>
    <w:rsid w:val="00BC65F8"/>
    <w:rsid w:val="00C73561"/>
    <w:rsid w:val="00CB652E"/>
    <w:rsid w:val="00D22A27"/>
    <w:rsid w:val="00D35B2E"/>
    <w:rsid w:val="00DB44B1"/>
    <w:rsid w:val="00E5462F"/>
    <w:rsid w:val="00E81369"/>
    <w:rsid w:val="00E91661"/>
    <w:rsid w:val="00EA5220"/>
    <w:rsid w:val="00EB5B86"/>
    <w:rsid w:val="00F87688"/>
    <w:rsid w:val="00FC1383"/>
    <w:rsid w:val="00FC686E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19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766D19"/>
    <w:pPr>
      <w:keepNext/>
      <w:numPr>
        <w:numId w:val="1"/>
      </w:numPr>
      <w:spacing w:before="240" w:after="283"/>
      <w:outlineLvl w:val="0"/>
    </w:pPr>
    <w:rPr>
      <w:rFonts w:ascii="Thorndale" w:eastAsia="HG Mincho Light J" w:hAnsi="Thorndale" w:cs="Arial Unicode MS"/>
      <w:b/>
      <w:bCs/>
      <w:sz w:val="48"/>
      <w:szCs w:val="48"/>
    </w:rPr>
  </w:style>
  <w:style w:type="paragraph" w:styleId="Heading2">
    <w:name w:val="heading 2"/>
    <w:basedOn w:val="Normal"/>
    <w:next w:val="BodyText"/>
    <w:link w:val="Heading2Char"/>
    <w:qFormat/>
    <w:rsid w:val="00766D19"/>
    <w:pPr>
      <w:keepNext/>
      <w:numPr>
        <w:ilvl w:val="1"/>
        <w:numId w:val="1"/>
      </w:numPr>
      <w:spacing w:before="240" w:after="283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D19"/>
    <w:rPr>
      <w:rFonts w:ascii="Thorndale" w:eastAsia="HG Mincho Light J" w:hAnsi="Thorndale" w:cs="Arial Unicode MS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766D19"/>
    <w:rPr>
      <w:rFonts w:ascii="Albany" w:eastAsia="HG Mincho Light J" w:hAnsi="Albany" w:cs="Arial Unicode MS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766D19"/>
    <w:pPr>
      <w:spacing w:before="0" w:after="0"/>
      <w:ind w:left="0" w:right="0"/>
    </w:pPr>
  </w:style>
  <w:style w:type="character" w:customStyle="1" w:styleId="BodyTextChar">
    <w:name w:val="Body Text Char"/>
    <w:basedOn w:val="DefaultParagraphFont"/>
    <w:link w:val="BodyText"/>
    <w:rsid w:val="00766D1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6D19"/>
    <w:pPr>
      <w:widowControl/>
      <w:suppressAutoHyphens w:val="0"/>
      <w:spacing w:before="100" w:beforeAutospacing="1" w:after="100" w:afterAutospacing="1"/>
      <w:ind w:left="0" w:right="0"/>
    </w:pPr>
    <w:rPr>
      <w:rFonts w:eastAsia="SimSun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D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1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19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766D19"/>
    <w:pPr>
      <w:keepNext/>
      <w:numPr>
        <w:numId w:val="1"/>
      </w:numPr>
      <w:spacing w:before="240" w:after="283"/>
      <w:outlineLvl w:val="0"/>
    </w:pPr>
    <w:rPr>
      <w:rFonts w:ascii="Thorndale" w:eastAsia="HG Mincho Light J" w:hAnsi="Thorndale" w:cs="Arial Unicode MS"/>
      <w:b/>
      <w:bCs/>
      <w:sz w:val="48"/>
      <w:szCs w:val="48"/>
    </w:rPr>
  </w:style>
  <w:style w:type="paragraph" w:styleId="Heading2">
    <w:name w:val="heading 2"/>
    <w:basedOn w:val="Normal"/>
    <w:next w:val="BodyText"/>
    <w:link w:val="Heading2Char"/>
    <w:qFormat/>
    <w:rsid w:val="00766D19"/>
    <w:pPr>
      <w:keepNext/>
      <w:numPr>
        <w:ilvl w:val="1"/>
        <w:numId w:val="1"/>
      </w:numPr>
      <w:spacing w:before="240" w:after="283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D19"/>
    <w:rPr>
      <w:rFonts w:ascii="Thorndale" w:eastAsia="HG Mincho Light J" w:hAnsi="Thorndale" w:cs="Arial Unicode MS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766D19"/>
    <w:rPr>
      <w:rFonts w:ascii="Albany" w:eastAsia="HG Mincho Light J" w:hAnsi="Albany" w:cs="Arial Unicode MS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766D19"/>
    <w:pPr>
      <w:spacing w:before="0" w:after="0"/>
      <w:ind w:left="0" w:right="0"/>
    </w:pPr>
  </w:style>
  <w:style w:type="character" w:customStyle="1" w:styleId="BodyTextChar">
    <w:name w:val="Body Text Char"/>
    <w:basedOn w:val="DefaultParagraphFont"/>
    <w:link w:val="BodyText"/>
    <w:rsid w:val="00766D1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6D19"/>
    <w:pPr>
      <w:widowControl/>
      <w:suppressAutoHyphens w:val="0"/>
      <w:spacing w:before="100" w:beforeAutospacing="1" w:after="100" w:afterAutospacing="1"/>
      <w:ind w:left="0" w:right="0"/>
    </w:pPr>
    <w:rPr>
      <w:rFonts w:eastAsia="SimSun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D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
<Relationships xmlns="http://schemas.openxmlformats.org/package/2006/relationships">
  <Relationship Id="rId2" Type="http://schemas.openxmlformats.org/officeDocument/2006/relationships/oleObject" Target="file:///\\host\dir\file.xlsx" TargetMode="External"/>
  <Relationship Id="rId1" Type="http://schemas.openxmlformats.org/officeDocument/2006/relationships/themeOverride" Target="../theme/themeOverride1.xml"/>
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Proposed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1.6975308641975315E-2"/>
                  <c:y val="-1.1440069991251099E-2"/>
                </c:manualLayout>
              </c:layout>
              <c:tx>
                <c:rich>
                  <a:bodyPr/>
                  <a:lstStyle/>
                  <a:p>
                    <a:r>
                      <a:rPr lang="en-US" sz="1200" b="1" i="0" u="none" strike="noStrike" baseline="0" dirty="0"/>
                      <a:t>∆ -</a:t>
                    </a:r>
                    <a:r>
                      <a:rPr lang="en-US" dirty="0" smtClean="0"/>
                      <a:t>7.5</a:t>
                    </a:r>
                    <a:endParaRPr lang="en-US" dirty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6975308641975308E-2"/>
                  <c:y val="-7.0766841644794395E-2"/>
                </c:manualLayout>
              </c:layout>
              <c:tx>
                <c:rich>
                  <a:bodyPr/>
                  <a:lstStyle/>
                  <a:p>
                    <a:r>
                      <a:rPr lang="en-US" sz="1200" b="1" i="0" u="none" strike="noStrike" baseline="0" dirty="0"/>
                      <a:t>∆ -</a:t>
                    </a:r>
                    <a:r>
                      <a:rPr lang="en-US" dirty="0" smtClean="0"/>
                      <a:t>25.21</a:t>
                    </a:r>
                    <a:endParaRPr lang="en-US" dirty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6975308641975315E-2"/>
                  <c:y val="-0.10597069116360459"/>
                </c:manualLayout>
              </c:layout>
              <c:tx>
                <c:rich>
                  <a:bodyPr/>
                  <a:lstStyle/>
                  <a:p>
                    <a:r>
                      <a:rPr lang="en-US" sz="1200" b="1" i="0" u="none" strike="noStrike" baseline="0" dirty="0"/>
                      <a:t>∆ -</a:t>
                    </a:r>
                    <a:r>
                      <a:rPr lang="en-US" dirty="0" smtClean="0"/>
                      <a:t>35.99</a:t>
                    </a:r>
                    <a:endParaRPr lang="en-US" dirty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1.6975308641975308E-2"/>
                  <c:y val="8.1979440069991256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∆ 24.7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1.6975308641975308E-2"/>
                  <c:y val="8.2891513560804896E-3"/>
                </c:manualLayout>
              </c:layout>
              <c:tx>
                <c:rich>
                  <a:bodyPr/>
                  <a:lstStyle/>
                  <a:p>
                    <a:r>
                      <a:rPr lang="en-US" sz="1200" b="1" i="0" u="none" strike="noStrike" baseline="0"/>
                      <a:t>∆ </a:t>
                    </a:r>
                    <a:r>
                      <a:rPr lang="en-US"/>
                      <a:t>33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1.388888888888901E-2"/>
                  <c:y val="1.1914698162729659E-2"/>
                </c:manualLayout>
              </c:layout>
              <c:tx>
                <c:rich>
                  <a:bodyPr/>
                  <a:lstStyle/>
                  <a:p>
                    <a:r>
                      <a:rPr lang="en-US" sz="1200" b="1" i="0" u="none" strike="noStrike" baseline="0"/>
                      <a:t>∆ </a:t>
                    </a:r>
                    <a:r>
                      <a:rPr lang="en-US"/>
                      <a:t>18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solidFill>
                <a:srgbClr val="F8F8F8">
                  <a:alpha val="49804"/>
                </a:srgbClr>
              </a:solidFill>
            </c:sp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Sheet1!$B$3:$H$3</c:f>
              <c:numCache>
                <c:formatCode>General</c:formatCode>
                <c:ptCount val="7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</c:numCache>
            </c:numRef>
          </c:cat>
          <c:val>
            <c:numRef>
              <c:f>Sheet1!$B$4:$H$4</c:f>
              <c:numCache>
                <c:formatCode>General</c:formatCode>
                <c:ptCount val="7"/>
                <c:pt idx="0">
                  <c:v>3</c:v>
                </c:pt>
                <c:pt idx="1">
                  <c:v>20.5</c:v>
                </c:pt>
                <c:pt idx="2">
                  <c:v>30.8</c:v>
                </c:pt>
                <c:pt idx="3">
                  <c:v>50.2</c:v>
                </c:pt>
                <c:pt idx="4">
                  <c:v>59.5</c:v>
                </c:pt>
                <c:pt idx="6">
                  <c:v>18</c:v>
                </c:pt>
              </c:numCache>
            </c:numRef>
          </c:val>
        </c:ser>
        <c:ser>
          <c:idx val="1"/>
          <c:order val="2"/>
          <c:tx>
            <c:strRef>
              <c:f>Sheet1!$A$5</c:f>
              <c:strCache>
                <c:ptCount val="1"/>
                <c:pt idx="0">
                  <c:v>Original</c:v>
                </c:pt>
              </c:strCache>
            </c:strRef>
          </c:tx>
          <c:invertIfNegative val="0"/>
          <c:cat>
            <c:numRef>
              <c:f>Sheet1!$B$3:$H$3</c:f>
              <c:numCache>
                <c:formatCode>General</c:formatCode>
                <c:ptCount val="7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</c:numCache>
            </c:numRef>
          </c:cat>
          <c:val>
            <c:numRef>
              <c:f>Sheet1!$B$5:$H$5</c:f>
              <c:numCache>
                <c:formatCode>General</c:formatCode>
                <c:ptCount val="7"/>
                <c:pt idx="0">
                  <c:v>10.5</c:v>
                </c:pt>
                <c:pt idx="1">
                  <c:v>45.71</c:v>
                </c:pt>
                <c:pt idx="2">
                  <c:v>66.790000000000006</c:v>
                </c:pt>
                <c:pt idx="3">
                  <c:v>25.5</c:v>
                </c:pt>
                <c:pt idx="4">
                  <c:v>26.5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044416"/>
        <c:axId val="82045952"/>
      </c:barChart>
      <c:lineChart>
        <c:grouping val="standard"/>
        <c:varyColors val="0"/>
        <c:ser>
          <c:idx val="2"/>
          <c:order val="1"/>
          <c:tx>
            <c:strRef>
              <c:f>Sheet1!$A$11</c:f>
              <c:strCache>
                <c:ptCount val="1"/>
                <c:pt idx="0">
                  <c:v>Proposed Cumulative</c:v>
                </c:pt>
              </c:strCache>
            </c:strRef>
          </c:tx>
          <c:marker>
            <c:symbol val="none"/>
          </c:marker>
          <c:cat>
            <c:numRef>
              <c:f>Sheet1!$B$10:$H$10</c:f>
              <c:numCache>
                <c:formatCode>General</c:formatCode>
                <c:ptCount val="7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</c:numCache>
            </c:numRef>
          </c:cat>
          <c:val>
            <c:numRef>
              <c:f>Sheet1!$B$11:$H$11</c:f>
              <c:numCache>
                <c:formatCode>General</c:formatCode>
                <c:ptCount val="7"/>
                <c:pt idx="0">
                  <c:v>3</c:v>
                </c:pt>
                <c:pt idx="1">
                  <c:v>23.5</c:v>
                </c:pt>
                <c:pt idx="2">
                  <c:v>54.3</c:v>
                </c:pt>
                <c:pt idx="3">
                  <c:v>104.5</c:v>
                </c:pt>
                <c:pt idx="4">
                  <c:v>164</c:v>
                </c:pt>
                <c:pt idx="5">
                  <c:v>164</c:v>
                </c:pt>
                <c:pt idx="6">
                  <c:v>182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Sheet1!$A$12</c:f>
              <c:strCache>
                <c:ptCount val="1"/>
                <c:pt idx="0">
                  <c:v>Original Cumulative</c:v>
                </c:pt>
              </c:strCache>
            </c:strRef>
          </c:tx>
          <c:marker>
            <c:symbol val="none"/>
          </c:marker>
          <c:cat>
            <c:numRef>
              <c:f>Sheet1!$B$10:$H$10</c:f>
              <c:numCache>
                <c:formatCode>General</c:formatCode>
                <c:ptCount val="7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</c:numCache>
            </c:numRef>
          </c:cat>
          <c:val>
            <c:numRef>
              <c:f>Sheet1!$B$12:$H$12</c:f>
              <c:numCache>
                <c:formatCode>General</c:formatCode>
                <c:ptCount val="7"/>
                <c:pt idx="0">
                  <c:v>10.5</c:v>
                </c:pt>
                <c:pt idx="1">
                  <c:v>56.21</c:v>
                </c:pt>
                <c:pt idx="2">
                  <c:v>123</c:v>
                </c:pt>
                <c:pt idx="3">
                  <c:v>148.5</c:v>
                </c:pt>
                <c:pt idx="4">
                  <c:v>175</c:v>
                </c:pt>
                <c:pt idx="5">
                  <c:v>175</c:v>
                </c:pt>
                <c:pt idx="6">
                  <c:v>175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Sheet1!$A$19</c:f>
              <c:strCache>
                <c:ptCount val="1"/>
                <c:pt idx="0">
                  <c:v>Cumulative ∆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val>
            <c:numRef>
              <c:f>Sheet1!$B$19:$H$19</c:f>
              <c:numCache>
                <c:formatCode>General</c:formatCode>
                <c:ptCount val="7"/>
                <c:pt idx="0">
                  <c:v>-7.5</c:v>
                </c:pt>
                <c:pt idx="1">
                  <c:v>-32.71</c:v>
                </c:pt>
                <c:pt idx="2">
                  <c:v>-68.700000000000017</c:v>
                </c:pt>
                <c:pt idx="3">
                  <c:v>-44.000000000000014</c:v>
                </c:pt>
                <c:pt idx="4">
                  <c:v>-11.000000000000014</c:v>
                </c:pt>
                <c:pt idx="5">
                  <c:v>-11.000000000000014</c:v>
                </c:pt>
                <c:pt idx="6">
                  <c:v>6.9999999999999858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Sheet1!$A$20</c:f>
              <c:strCache>
                <c:ptCount val="1"/>
                <c:pt idx="0">
                  <c:v>% of Original</c:v>
                </c:pt>
              </c:strCache>
            </c:strRef>
          </c:tx>
          <c:spPr>
            <a:ln>
              <a:noFill/>
            </a:ln>
          </c:spPr>
          <c:marker>
            <c:symbol val="none"/>
          </c:marker>
          <c:val>
            <c:numRef>
              <c:f>Sheet1!$B$20:$F$20</c:f>
              <c:numCache>
                <c:formatCode>0%</c:formatCode>
                <c:ptCount val="5"/>
                <c:pt idx="0">
                  <c:v>0.2857142857142857</c:v>
                </c:pt>
                <c:pt idx="1">
                  <c:v>0.44847954495733966</c:v>
                </c:pt>
                <c:pt idx="2">
                  <c:v>0.46114687827519085</c:v>
                </c:pt>
                <c:pt idx="3">
                  <c:v>1.9686274509803925</c:v>
                </c:pt>
                <c:pt idx="4">
                  <c:v>2.2452830188679247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044416"/>
        <c:axId val="82045952"/>
      </c:lineChart>
      <c:catAx>
        <c:axId val="8204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82045952"/>
        <c:crosses val="autoZero"/>
        <c:auto val="1"/>
        <c:lblAlgn val="ctr"/>
        <c:lblOffset val="100"/>
        <c:noMultiLvlLbl val="0"/>
      </c:catAx>
      <c:valAx>
        <c:axId val="82045952"/>
        <c:scaling>
          <c:orientation val="minMax"/>
          <c:min val="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SPEND [Millions $]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204441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spPr>
    <a:ln>
      <a:solidFill>
        <a:sysClr val="windowText" lastClr="000000"/>
      </a:solidFill>
    </a:ln>
  </c:spPr>
  <c:txPr>
    <a:bodyPr/>
    <a:lstStyle/>
    <a:p>
      <a:pPr>
        <a:defRPr sz="800" baseline="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22274-B8D2-4734-BF54-36C0E173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vmiklos</cp:lastModifiedBy>
</cp:coreProperties>
</file>