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  <w:t>1/A. AAAAA  AAAAAAAA AAAAAAAA AAAAAAAAAA AAAAAAAAAAA AAAAAAAAA 1111.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i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hu-H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hu-HU"/>
        </w:rPr>
      </w:r>
    </w:p>
    <w:p>
      <w:pPr>
        <w:pStyle w:val="ListParagraph"/>
        <w:spacing w:before="0" w:after="0"/>
        <w:ind w:left="108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795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560"/>
        <w:gridCol w:w="1134"/>
        <w:gridCol w:w="1417"/>
        <w:gridCol w:w="1559"/>
        <w:gridCol w:w="1283"/>
      </w:tblGrid>
      <w:tr>
        <w:trPr>
          <w:trHeight w:val="1320" w:hRule="atLeast"/>
          <w:cantSplit w:val="true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hu-HU"/>
              </w:rPr>
              <w:t>AAAAA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hu-HU"/>
              </w:rPr>
              <w:t>AAAAAAA-AAAAAAAA AAAAAA AAAAA AAAAAAAA (AA)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hu-HU"/>
              </w:rPr>
              <w:t>AAAAAAAAAAA AAAAAA AAAAAAA-AAAAAAAA AAAAAAAAAA (AA)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hu-HU"/>
              </w:rPr>
              <w:t>AAAAAAAAAAAAAAAA AAAAAA AAAAAAA-AAAAAAAA AAAAAAAAAA (AA)</w:t>
            </w:r>
          </w:p>
        </w:tc>
        <w:tc>
          <w:tcPr>
            <w:tcW w:w="1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hu-HU"/>
              </w:rPr>
              <w:t>AAAAAAAAAA AAAAAA AAAAAAA-AAAAAAAA AAAAAAAAAA (AA)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AAAA-AAAAAA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AAAAAA-AAAAA-AAAAAAA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AAAA-AAAAA-AAAAAA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AAAAA-AAAAA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AAAA-AAAAAAA-AAAAAAA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AAAAAAA-AAAAAAAAA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AAAAAAAA-AAAAAAA-AAAAA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AAAAAAAA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tr>
        <w:trPr>
          <w:trHeight w:val="645" w:hRule="atLeast"/>
        </w:trPr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hu-HU"/>
              </w:rPr>
              <w:t>AAAAAAAA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000000" w:fill="D8E4B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hu-HU"/>
              </w:rPr>
              <w:t>11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hu-HU"/>
              </w:rPr>
              <w:t>11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hu-HU"/>
              </w:rPr>
              <w:t>11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hu-HU"/>
              </w:rPr>
              <w:t>1</w:t>
            </w:r>
          </w:p>
        </w:tc>
      </w:tr>
    </w:tbl>
    <w:p>
      <w:pPr>
        <w:pStyle w:val="Normal"/>
        <w:keepNext w:val="true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1. AA. AAAAAAA</w:t>
      </w:r>
      <w:r>
        <w:rPr>
          <w:rFonts w:ascii="Times New Roman" w:hAnsi="Times New Roman"/>
        </w:rPr>
        <w:t xml:space="preserve"> AAAAAAAA AAAAAAAAAA AAAAAAA-AAAAAAAA AAAAAA AAAAAAAAAA AAAAAAAAA, AAAAAAAAAAA AAAAAAAAA 1111.</w:t>
      </w:r>
    </w:p>
    <w:p>
      <w:pPr>
        <w:pStyle w:val="ListParagraph"/>
        <w:keepNext w:val="true"/>
        <w:spacing w:before="0" w:after="0"/>
        <w:ind w:left="1080" w:hanging="0"/>
        <w:contextualSpacing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-461645</wp:posOffset>
            </wp:positionH>
            <wp:positionV relativeFrom="paragraph">
              <wp:posOffset>105410</wp:posOffset>
            </wp:positionV>
            <wp:extent cx="6696075" cy="3333750"/>
            <wp:effectExtent l="0" t="0" r="0" b="0"/>
            <wp:wrapTopAndBottom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Caption"/>
        <w:spacing w:lineRule="auto" w:line="240" w:before="0" w:after="0"/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1111-AAA A 11 AAAAAAAAA 11 AAAAAAA-AAAAAAAA AAAAA AAAAA 1 AAAAAA AAAAAAA, 11 AAAAA AAAAAA AAAAAAA AAAA.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1 AAAAAA AAAAAAA AAAAAAA-AAAAAAAA AAAAAAA 1-AAA AAAA AAAAAAAAAAAAAAAA AAAAAA, 1-AAA AAAA AAAAAAAAAAA AAAAAA AAAAAA.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AAAAAA AAAAAAA AAAAAAA-AAAAAAAA AAAAAA AAAAA 11-AAA AAAAAAAAAAA AA AAAAAAAAAAAAAAAA AAAAAA, 1-AAA AAAAAAAAAAAAAAAA AA AAAAAAAAAA, 1-AAA AAAAAAAAAAA, AAAAAAAAAAAAAAAA AA AAAAAAAAAA AAAAAA AA AAAAAA.</w:t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true"/>
        <w:spacing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hu-HU" w:eastAsia="en-US" w:bidi="ar-SA"/>
        </w:rPr>
        <w:t>2</w:t>
      </w:r>
      <w:r>
        <w:rPr>
          <w:rFonts w:cs="Times New Roman" w:ascii="Times New Roman" w:hAnsi="Times New Roman"/>
        </w:rPr>
        <w:t>/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hu-HU" w:eastAsia="en-US" w:bidi="ar-SA"/>
        </w:rPr>
        <w:t xml:space="preserve">BBBBBBBB </w:t>
      </w:r>
      <w:r>
        <w:rPr>
          <w:rFonts w:cs="Times New Roman" w:ascii="Times New Roman" w:hAnsi="Times New Roman"/>
        </w:rPr>
        <w:t>AAA</w:t>
      </w:r>
      <w:r>
        <w:rPr>
          <w:rFonts w:ascii="Times New Roman" w:hAnsi="Times New Roman"/>
        </w:rPr>
        <w:t xml:space="preserve"> AAAAAAAA AAAAAAAAAA AAAAAAA-AAAAAAAA AAAAAA AAAAAAAAAA AAAAAAAAA, AAAAAAAAAAA </w:t>
      </w:r>
    </w:p>
    <w:p>
      <w:pPr>
        <w:pStyle w:val="Normal"/>
        <w:keepNext w:val="true"/>
        <w:spacing w:before="0" w:after="0"/>
        <w:rPr>
          <w:rFonts w:ascii="Times New Roman" w:hAnsi="Times New Roman"/>
        </w:rPr>
      </w:pPr>
      <w:r/>
      <w:r>
        <w:rPr>
          <w:rFonts w:eastAsia="Calibri" w:cs="" w:ascii="Times New Roman" w:hAnsi="Times New Roman" w:cstheme="minorBidi" w:eastAsiaTheme="minorHAnsi"/>
          <w:color w:val="auto"/>
          <w:kern w:val="0"/>
          <w:sz w:val="22"/>
          <w:szCs w:val="22"/>
          <w:lang w:val="hu-HU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-347345</wp:posOffset>
            </wp:positionH>
            <wp:positionV relativeFrom="paragraph">
              <wp:posOffset>532765</wp:posOffset>
            </wp:positionV>
            <wp:extent cx="6543675" cy="3571875"/>
            <wp:effectExtent l="0" t="0" r="0" b="0"/>
            <wp:wrapTopAndBottom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>C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2"/>
          <w:szCs w:val="22"/>
          <w:lang w:val="hu-HU" w:eastAsia="en-US" w:bidi="ar-SA"/>
        </w:rPr>
        <w:t>CCCCCCCCCC</w:t>
      </w:r>
      <w:r>
        <w:rPr>
          <w:rFonts w:ascii="Times New Roman" w:hAnsi="Times New Roman"/>
        </w:rPr>
        <w:t xml:space="preserve"> 1111.</w:t>
      </w:r>
    </w:p>
    <w:p>
      <w:pPr>
        <w:pStyle w:val="Caption"/>
        <w:jc w:val="center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</w:r>
    </w:p>
    <w:p>
      <w:pPr>
        <w:pStyle w:val="Caption"/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aption"/>
        <w:spacing w:lineRule="auto" w:line="240" w:before="0" w:after="0"/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8888</w:t>
      </w:r>
      <w:r>
        <w:rPr>
          <w:rFonts w:ascii="Times New Roman" w:hAnsi="Times New Roman"/>
          <w:b w:val="false"/>
          <w:sz w:val="24"/>
          <w:szCs w:val="24"/>
        </w:rPr>
        <w:t>-AAA A 11 AAAAAAAAA 11 AAAAAAA-AAAAAAAA AAAAA AAAAA 1 AAAAAA AAAAAAA, 11 AAAAA AAAAAA AAAAAAA AAAA.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 1 AAAAAA AAAAAAA AAAAAAA-AAAAAAAA AAAA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AAA 1-AAA AAAA AAAAAAAAAAAAAAAA AAAAAA, 1-AAA AAAA AAAAAAAAAAA AAAAAA AAAAAA.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AAAAAA AAAAAAA AAAAAAA-AAAAAAAA AAAAAA AAAAA 11-AAA AAAAAAAAAAA AA AAAAAAAAAAAAAAAA AAAAAA, 1-AAA AAAAAAAAAAAAAAAA AA AAAAAAAAAA, 1-AAA AAAAAAAAAAA, AAAAAAAAAAAAAAAA AA AAAAAAAAAA AAAAAA AA AAAAAA.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851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783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Berschrift1">
    <w:name w:val="Heading 1"/>
    <w:basedOn w:val="Normal"/>
    <w:next w:val="Normal"/>
    <w:link w:val="Cmsor1Char"/>
    <w:uiPriority w:val="9"/>
    <w:qFormat/>
    <w:rsid w:val="004c756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Cmsor2Char"/>
    <w:uiPriority w:val="9"/>
    <w:unhideWhenUsed/>
    <w:qFormat/>
    <w:rsid w:val="004c756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zvegtrzsChar" w:customStyle="1">
    <w:name w:val="Szövegtörzs Char"/>
    <w:basedOn w:val="DefaultParagraphFont"/>
    <w:link w:val="Szvegtrzs"/>
    <w:semiHidden/>
    <w:qFormat/>
    <w:rsid w:val="00177832"/>
    <w:rPr>
      <w:rFonts w:ascii="Times New Roman" w:hAnsi="Times New Roman" w:eastAsia="Times New Roman" w:cs="Times New Roman"/>
      <w:b/>
      <w:sz w:val="28"/>
      <w:szCs w:val="20"/>
      <w:lang w:eastAsia="hu-HU"/>
    </w:rPr>
  </w:style>
  <w:style w:type="character" w:styleId="Szvegtrzs3Char" w:customStyle="1">
    <w:name w:val="Szövegtörzs 3 Char"/>
    <w:basedOn w:val="DefaultParagraphFont"/>
    <w:link w:val="Szvegtrzs3"/>
    <w:uiPriority w:val="99"/>
    <w:semiHidden/>
    <w:qFormat/>
    <w:rsid w:val="00177832"/>
    <w:rPr>
      <w:sz w:val="16"/>
      <w:szCs w:val="16"/>
    </w:rPr>
  </w:style>
  <w:style w:type="character" w:styleId="Style41" w:customStyle="1">
    <w:name w:val="style41"/>
    <w:basedOn w:val="DefaultParagraphFont"/>
    <w:qFormat/>
    <w:rsid w:val="00177832"/>
    <w:rPr>
      <w:rFonts w:ascii="Arial" w:hAnsi="Arial" w:cs="Arial"/>
      <w:b/>
      <w:bCs/>
      <w:i/>
      <w:iCs/>
      <w:color w:val="CC0000"/>
      <w:sz w:val="21"/>
      <w:szCs w:val="21"/>
    </w:rPr>
  </w:style>
  <w:style w:type="character" w:styleId="Szvegtrzs2Char" w:customStyle="1">
    <w:name w:val="Szövegtörzs 2 Char"/>
    <w:basedOn w:val="DefaultParagraphFont"/>
    <w:link w:val="Szvegtrzs2"/>
    <w:uiPriority w:val="99"/>
    <w:qFormat/>
    <w:rsid w:val="00177832"/>
    <w:rPr>
      <w:rFonts w:ascii="Times New Roman" w:hAnsi="Times New Roman" w:eastAsia="Calibri" w:cs="Times New Roman"/>
      <w:sz w:val="24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43599b"/>
    <w:rPr>
      <w:rFonts w:ascii="Tahoma" w:hAnsi="Tahoma" w:cs="Tahoma"/>
      <w:sz w:val="16"/>
      <w:szCs w:val="16"/>
    </w:rPr>
  </w:style>
  <w:style w:type="character" w:styleId="LfejChar" w:customStyle="1">
    <w:name w:val="Élőfej Char"/>
    <w:basedOn w:val="DefaultParagraphFont"/>
    <w:link w:val="lfej"/>
    <w:uiPriority w:val="99"/>
    <w:qFormat/>
    <w:rsid w:val="00d804af"/>
    <w:rPr/>
  </w:style>
  <w:style w:type="character" w:styleId="LlbChar" w:customStyle="1">
    <w:name w:val="Élőláb Char"/>
    <w:basedOn w:val="DefaultParagraphFont"/>
    <w:link w:val="llb"/>
    <w:uiPriority w:val="99"/>
    <w:qFormat/>
    <w:rsid w:val="00d804af"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4c756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mChar" w:customStyle="1">
    <w:name w:val="Cím Char"/>
    <w:basedOn w:val="DefaultParagraphFont"/>
    <w:link w:val="Cm"/>
    <w:uiPriority w:val="10"/>
    <w:qFormat/>
    <w:rsid w:val="004c756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4c75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krper">
    <w:name w:val="Body Text"/>
    <w:basedOn w:val="Normal"/>
    <w:link w:val="SzvegtrzsChar"/>
    <w:semiHidden/>
    <w:rsid w:val="0017783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lang w:eastAsia="hu-HU"/>
    </w:rPr>
  </w:style>
  <w:style w:type="paragraph" w:styleId="List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BodyText3">
    <w:name w:val="Body Text 3"/>
    <w:basedOn w:val="Normal"/>
    <w:link w:val="Szvegtrzs3Char"/>
    <w:uiPriority w:val="99"/>
    <w:semiHidden/>
    <w:unhideWhenUsed/>
    <w:qFormat/>
    <w:rsid w:val="00177832"/>
    <w:pPr>
      <w:spacing w:before="0" w:after="120"/>
    </w:pPr>
    <w:rPr>
      <w:sz w:val="16"/>
      <w:szCs w:val="16"/>
    </w:rPr>
  </w:style>
  <w:style w:type="paragraph" w:styleId="BodyText2">
    <w:name w:val="Body Text 2"/>
    <w:basedOn w:val="Normal"/>
    <w:link w:val="Szvegtrzs2Char"/>
    <w:uiPriority w:val="99"/>
    <w:unhideWhenUsed/>
    <w:qFormat/>
    <w:rsid w:val="00177832"/>
    <w:pPr>
      <w:spacing w:lineRule="auto" w:line="480" w:before="0" w:after="120"/>
    </w:pPr>
    <w:rPr>
      <w:rFonts w:ascii="Times New Roman" w:hAnsi="Times New Roman" w:eastAsia="Calibri" w:cs="Times New Roman"/>
      <w:sz w:val="24"/>
    </w:rPr>
  </w:style>
  <w:style w:type="paragraph" w:styleId="ListParagraph">
    <w:name w:val="List Paragraph"/>
    <w:basedOn w:val="Normal"/>
    <w:uiPriority w:val="34"/>
    <w:qFormat/>
    <w:rsid w:val="0017783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43599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d2f14"/>
    <w:pPr/>
    <w:rPr>
      <w:rFonts w:ascii="Calibri" w:hAnsi="Calibri" w:eastAsia="Calibri" w:cs="Times New Roman"/>
      <w:b/>
      <w:bCs/>
      <w:sz w:val="20"/>
      <w:szCs w:val="20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lfejChar"/>
    <w:uiPriority w:val="99"/>
    <w:unhideWhenUsed/>
    <w:rsid w:val="00d804a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llbChar"/>
    <w:uiPriority w:val="99"/>
    <w:unhideWhenUsed/>
    <w:rsid w:val="00d804a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el">
    <w:name w:val="Title"/>
    <w:basedOn w:val="Normal"/>
    <w:next w:val="Normal"/>
    <w:link w:val="CmChar"/>
    <w:uiPriority w:val="10"/>
    <w:qFormat/>
    <w:rsid w:val="004c756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percent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szakiskolai képzés feladat-ellátási helyenként (db)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21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6</c:v>
                </c:pt>
                <c:pt idx="13">
                  <c:v>3</c:v>
                </c:pt>
                <c:pt idx="14">
                  <c:v>4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5</c:v>
                </c:pt>
                <c:pt idx="20">
                  <c:v>56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szakközépiskolai képzés feladat-ellátási helyenként (db)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21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7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7</c:v>
                </c:pt>
                <c:pt idx="13">
                  <c:v>3</c:v>
                </c:pt>
                <c:pt idx="14">
                  <c:v>4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5</c:v>
                </c:pt>
                <c:pt idx="20">
                  <c:v>58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gimnáziumi képzés feladat-ellátási helyenként (db)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</c:v>
                </c:pt>
              </c:numCache>
            </c:numRef>
          </c:val>
        </c:ser>
        <c:gapWidth val="150"/>
        <c:overlap val="100"/>
        <c:axId val="26406737"/>
        <c:axId val="31484285"/>
      </c:barChart>
      <c:catAx>
        <c:axId val="26406737"/>
        <c:scaling>
          <c:orientation val="minMax"/>
        </c:scaling>
        <c:delete val="1"/>
        <c:axPos val="b"/>
        <c:numFmt formatCode="[$-407]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31484285"/>
        <c:auto val="1"/>
        <c:lblAlgn val="ctr"/>
        <c:lblOffset val="100"/>
        <c:noMultiLvlLbl val="0"/>
      </c:catAx>
      <c:valAx>
        <c:axId val="31484285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0%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6406737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percent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szakiskolai képzés feladatellátási helyenként (db)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21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6</c:v>
                </c:pt>
                <c:pt idx="13">
                  <c:v>3</c:v>
                </c:pt>
                <c:pt idx="14">
                  <c:v>4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5</c:v>
                </c:pt>
                <c:pt idx="20">
                  <c:v>60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szakközépiskolai képzés feladatellátási helyenként (db)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21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7</c:v>
                </c:pt>
                <c:pt idx="13">
                  <c:v>3</c:v>
                </c:pt>
                <c:pt idx="14">
                  <c:v>4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5</c:v>
                </c:pt>
                <c:pt idx="20">
                  <c:v>62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gimnáziumi képzés feladatellátási helyenként (db)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</c:v>
                </c:pt>
              </c:numCache>
            </c:numRef>
          </c:val>
        </c:ser>
        <c:gapWidth val="150"/>
        <c:overlap val="100"/>
        <c:axId val="60721528"/>
        <c:axId val="63345054"/>
      </c:barChart>
      <c:catAx>
        <c:axId val="60721528"/>
        <c:scaling>
          <c:orientation val="minMax"/>
        </c:scaling>
        <c:delete val="1"/>
        <c:axPos val="b"/>
        <c:numFmt formatCode="[$-407]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63345054"/>
        <c:auto val="1"/>
        <c:lblAlgn val="ctr"/>
        <c:lblOffset val="100"/>
        <c:noMultiLvlLbl val="0"/>
      </c:catAx>
      <c:valAx>
        <c:axId val="63345054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0%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60721528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FCD421-C140-4CA3-8C93-C866CDE75B8A}"/>
</file>

<file path=customXml/itemProps2.xml><?xml version="1.0" encoding="utf-8"?>
<ds:datastoreItem xmlns:ds="http://schemas.openxmlformats.org/officeDocument/2006/customXml" ds:itemID="{56AFA746-9DF6-4249-8F74-357DDABB03FE}"/>
</file>

<file path=customXml/itemProps3.xml><?xml version="1.0" encoding="utf-8"?>
<ds:datastoreItem xmlns:ds="http://schemas.openxmlformats.org/officeDocument/2006/customXml" ds:itemID="{0D5C1304-2194-40DF-81CD-5FDA24BD4EA2}"/>
</file>

<file path=customXml/itemProps4.xml><?xml version="1.0" encoding="utf-8"?>
<ds:datastoreItem xmlns:ds="http://schemas.openxmlformats.org/officeDocument/2006/customXml" ds:itemID="{FC728C1C-E5B3-4738-87A7-5846B03AD6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LibreOffice/7.0.0.0.alpha0$Linux_X86_64 LibreOffice_project/a868b6e71bce302320d27d878e59aae24014e133</Application>
  <Pages>3</Pages>
  <Words>265</Words>
  <Characters>1470</Characters>
  <CharactersWithSpaces>1619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2019-02-08T09:04:00Z</dcterms:created>
  <dc:creator/>
  <dc:description/>
  <dc:language>de-DE</dc:language>
  <cp:lastModifiedBy/>
  <dcterms:modified xsi:type="dcterms:W3CDTF">2020-03-05T23:31:00Z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0x010100A8E0EEA1FDF22B4AB9A41CD42CC14085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