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Regional revenue by quarter, drawn as a bar chart in a text document.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4319905" cy="2520315"/>
            <wp:effectExtent l="0" t="0" r="0" b="0"/>
            <wp:wrapTopAndBottom/>
            <wp:docPr id="1" name="revenue chart" descr="" title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The figures above are units shipped, not currency.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pc="-1" strike="noStrike">
                <a:latin typeface="Arial"/>
              </a:defRPr>
            </a:pPr>
            <a:r>
              <a:rPr b="0" sz="1300" spc="-1" strike="noStrike">
                <a:latin typeface="Arial"/>
              </a:rPr>
              <a:t>Regional revenue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99ccff"/>
            </a:solidFill>
            <a:ln w="0">
              <a:solidFill>
                <a:srgbClr val="000000"/>
              </a:solidFill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120</c:v>
                </c:pt>
                <c:pt idx="1">
                  <c:v>95</c:v>
                </c:pt>
                <c:pt idx="2">
                  <c:v>143</c:v>
                </c:pt>
                <c:pt idx="3">
                  <c:v>168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99ccff"/>
            </a:solidFill>
            <a:ln w="0">
              <a:solidFill>
                <a:srgbClr val="000000"/>
              </a:solidFill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88</c:v>
                </c:pt>
                <c:pt idx="1">
                  <c:v>132</c:v>
                </c:pt>
                <c:pt idx="2">
                  <c:v>101</c:v>
                </c:pt>
                <c:pt idx="3">
                  <c:v>121</c:v>
                </c:pt>
              </c:numCache>
            </c:numRef>
          </c:val>
        </c:ser>
        <c:gapWidth val="100"/>
        <c:overlap val="0"/>
        <c:axId val="64995043"/>
        <c:axId val="39335147"/>
      </c:barChart>
      <c:catAx>
        <c:axId val="6499504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Quarter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[$-409]mm/dd/yyyy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39335147"/>
        <c:crosses val="autoZero"/>
        <c:auto val="1"/>
        <c:lblAlgn val="ctr"/>
        <c:lblOffset val="100"/>
        <c:noMultiLvlLbl val="0"/>
      </c:catAx>
      <c:valAx>
        <c:axId val="39335147"/>
        <c:scaling>
          <c:orientation val="minMax"/>
        </c:scaling>
        <c:delete val="0"/>
        <c:axPos val="l"/>
        <c:title>
          <c:tx>
            <c:rich>
              <a:bodyPr rot="-5400000"/>
              <a:lstStyle/>
              <a:p>
                <a:pPr>
                  <a:defRPr b="0" sz="900" spc="-1" strike="noStrike">
                    <a:latin typeface="Arial"/>
                  </a:defRPr>
                </a:pPr>
                <a:r>
                  <a:rPr b="0" sz="900" spc="-1" strike="noStrike">
                    <a:latin typeface="Arial"/>
                  </a:rPr>
                  <a:t>Units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1"/>
        <c:majorTickMark val="out"/>
        <c:minorTickMark val="none"/>
        <c:tickLblPos val="nextTo"/>
        <c:spPr>
          <a:ln w="0">
            <a:solidFill>
              <a:srgbClr val="000000"/>
            </a:solidFill>
          </a:ln>
        </c:spPr>
        <c:txPr>
          <a:bodyPr/>
          <a:lstStyle/>
          <a:p>
            <a:pPr>
              <a:defRPr b="0" sz="1000" spc="-1" strike="noStrike">
                <a:latin typeface="Arial"/>
              </a:defRPr>
            </a:pPr>
          </a:p>
        </c:txPr>
        <c:crossAx val="64995043"/>
        <c:crosses val="autoZero"/>
        <c:crossBetween val="between"/>
      </c:valAx>
      <c:spPr>
        <a:solidFill>
          <a:srgbClr val="d9d9d9"/>
        </a:solidFill>
        <a:ln w="0">
          <a:noFill/>
        </a:ln>
      </c:spPr>
    </c:plotArea>
    <c:legend>
      <c:legendPos val="r"/>
      <c:overlay val="0"/>
      <c:spPr>
        <a:noFill/>
        <a:ln w="0">
          <a:solidFill>
            <a:srgbClr val="000000"/>
          </a:solidFill>
        </a:ln>
      </c:spPr>
      <c:txPr>
        <a:bodyPr/>
        <a:lstStyle/>
        <a:p>
          <a:pPr>
            <a:defRPr b="0" sz="1000" spc="-1" strike="noStrike">
              <a:latin typeface="Arial"/>
            </a:defRPr>
          </a:pPr>
        </a:p>
      </c:txPr>
    </c:legend>
    <c:plotVisOnly val="0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