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alpha </w:t>
      </w:r>
      <w:r>
        <w:rPr/>
        <w:sym w:font="Symbol" w:char="F0B4"/>
      </w:r>
      <w:r>
        <w:rPr/>
        <w:t xml:space="preserve"> beta </w:t>
      </w:r>
      <w:r>
        <w:rPr/>
        <w:sym w:font="Wingdings" w:char="F0FC"/>
      </w:r>
      <w:r>
        <w:rPr/>
        <w:t xml:space="preserve"> gamma</w:t>
      </w:r>
      <w:r>
        <w:rPr/>
        <w:noBreakHyphen/>
      </w:r>
      <w:r>
        <w:rPr/>
        <w:t>600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Paperless test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paragraph is deliberately long enough that it has to wrap across more than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at any sensible page width, because line breaking is where font substitution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problems first become visible.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Item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 three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