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r>
        <w:t xml:space="preserve">OMML complexity ladder. Each construct appears inline, then as display maths.</w:t>
      </w:r>
    </w:p>
    <w:p>
      <w:r>
        <w:t xml:space="preserve">sub inline: before </w:t>
      </w:r>
      <m:oMath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after (bare subscript).</w:t>
      </w:r>
    </w:p>
    <w:p>
      <m:oMathPara>
        <m:oMath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>
      <w:r>
        <w:t xml:space="preserve">sup inline: before </w:t>
      </w:r>
      <m:oMath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after (bare superscript).</w:t>
      </w:r>
    </w:p>
    <w:p>
      <m:oMathPara>
        <m:oMath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>
      <w:r>
        <w:t xml:space="preserve">subsup inline: before </w:t>
      </w:r>
      <m:oMath>
        <m:sSubSup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after (subscript and superscript together).</w:t>
      </w:r>
    </w:p>
    <w:p>
      <m:oMathPara>
        <m:oMath>
          <m:sSubSup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>
      <w:r>
        <w:t xml:space="preserve">presub inline: before </w:t>
      </w:r>
      <m:oMath>
        <m:sPr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w:rPr>
                <w:rFonts w:ascii="Cambria Math" w:hAnsi="Cambria Math"/>
              </w:rPr>
              <m:t>X</m:t>
            </m:r>
          </m:e>
        </m:sPre>
      </m:oMath>
      <w:r>
        <w:t xml:space="preserve"> after (pre-subscript and pre-superscript).</w:t>
      </w:r>
    </w:p>
    <w:p>
      <m:oMathPara>
        <m:oMath>
          <m:sPr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r>
                <w:rPr>
                  <w:rFonts w:ascii="Cambria Math" w:hAnsi="Cambria Math"/>
                </w:rPr>
                <m:t>X</m:t>
              </m:r>
            </m:e>
          </m:sPre>
        </m:oMath>
      </m:oMathPara>
    </w:p>
    <w:p>
      <w:r>
        <w:t xml:space="preserve">frac inline: before </w:t>
      </w:r>
      <m:oMath>
        <m:f>
          <m:fPr>
            <m:type m:val="bar"/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</m:oMath>
      <w:r>
        <w:t xml:space="preserve"> after (fraction).</w:t>
      </w:r>
    </w:p>
    <w:p>
      <m:oMathPara>
        <m:oMath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</m:oMath>
      </m:oMathPara>
    </w:p>
    <w:p>
      <w:r>
        <w:t xml:space="preserve">fracsub inline: before </w:t>
      </w:r>
      <m:oMath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>
        <w:t xml:space="preserve"> after (fraction whose terms are subscripted).</w:t>
      </w:r>
    </w:p>
    <w:p>
      <m:oMathPara>
        <m:oMath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>
      <w:r>
        <w:t xml:space="preserve">rad inline: before 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 after (square root).</w:t>
      </w:r>
    </w:p>
    <w:p>
      <m:oMathPara>
        <m:oMath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>x</m:t>
              </m:r>
            </m:e>
          </m:rad>
        </m:oMath>
      </m:oMathPara>
    </w:p>
    <w:p>
      <w:r>
        <w:t xml:space="preserve">radn inline: before </w:t>
      </w:r>
      <m:oMath>
        <m:rad>
          <m:radPr>
            <m:degHide m:val="0"/>
          </m:radPr>
          <m:deg>
            <m:r>
              <w:rPr>
                <w:rFonts w:ascii="Cambria Math" w:hAnsi="Cambria Math"/>
              </w:rPr>
              <m:t>3</m:t>
            </m:r>
          </m:deg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a</m:t>
                </m:r>
              </m:num>
              <m:den>
                <m:r>
                  <w:rPr>
                    <w:rFonts w:ascii="Cambria Math" w:hAnsi="Cambria Math"/>
                  </w:rPr>
                  <m:t>b</m:t>
                </m:r>
              </m:den>
            </m:f>
          </m:e>
        </m:rad>
      </m:oMath>
      <w:r>
        <w:t xml:space="preserve"> after (nth root over a fraction).</w:t>
      </w:r>
    </w:p>
    <w:p>
      <m:oMathPara>
        <m:oMath>
          <m:rad>
            <m:radPr>
              <m:degHide m:val="0"/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</m:e>
          </m:rad>
        </m:oMath>
      </m:oMathPara>
    </w:p>
    <w:p>
      <w:r>
        <w:t xml:space="preserve">narysum inline: before </w:t>
      </w:r>
      <m:oMath>
        <m:nary>
          <m:naryPr>
            <m:chr m:val="∑"/>
            <m:limLoc m:val="undOvr"/>
            <m:subHide m:val="0"/>
            <m:supHide m:val="0"/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>
        <w:t xml:space="preserve"> after (n-ary sum with lower and upper limits).</w:t>
      </w:r>
    </w:p>
    <w:p>
      <m:oMathPara>
        <m:oMath>
          <m:nary>
            <m:naryPr>
              <m:chr m:val="∑"/>
              <m:limLoc m:val="undOvr"/>
              <m:subHide m:val="0"/>
              <m:supHide m:val="0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>
      <w:r>
        <w:t xml:space="preserve">naryint inline: before </w:t>
      </w:r>
      <m:oMath>
        <m:nary>
          <m:naryPr>
            <m:chr m:val="∫"/>
            <m:limLoc m:val="subSup"/>
            <m:subHide m:val="0"/>
            <m:supHide m:val="0"/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r>
              <w:rPr>
                <w:rFonts w:ascii="Cambria Math" w:hAnsi="Cambria Math"/>
              </w:rPr>
              <m:t>f(t)dt</m:t>
            </m:r>
          </m:e>
        </m:nary>
      </m:oMath>
      <w:r>
        <w:t xml:space="preserve"> after (n-ary integral with limits beside the sign).</w:t>
      </w:r>
    </w:p>
    <w:p>
      <m:oMathPara>
        <m:oMath>
          <m:nary>
            <m:naryPr>
              <m:chr m:val="∫"/>
              <m:limLoc m:val="subSup"/>
              <m:subHide m:val="0"/>
              <m:supHide m:val="0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f(t)dt</m:t>
              </m:r>
            </m:e>
          </m:nary>
        </m:oMath>
      </m:oMathPara>
    </w:p>
    <w:p>
      <w:r>
        <w:t xml:space="preserve">delim inline: before </w:t>
      </w:r>
      <m:oMath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>a+</m:t>
            </m:r>
            <m:d>
              <m:dPr>
                <m:begChr m:val="["/>
                <m:endChr m:val="]"/>
              </m:dPr>
              <m:e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</m:e>
            </m:d>
          </m:e>
        </m:d>
      </m:oMath>
      <w:r>
        <w:t xml:space="preserve"> after (nested delimiters).</w:t>
      </w:r>
    </w:p>
    <w:p>
      <m:oMathPara>
        <m:oMath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>a+</m:t>
              </m:r>
              <m:d>
                <m:dPr>
                  <m:begChr m:val="["/>
                  <m:endChr m:val="]"/>
                </m:dPr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c</m:t>
                      </m:r>
                    </m:den>
                  </m:f>
                </m:e>
              </m:d>
            </m:e>
          </m:d>
        </m:oMath>
      </m:oMathPara>
    </w:p>
    <w:p>
      <w:r>
        <w:t xml:space="preserve">acc inline: before </w:t>
      </w:r>
      <m:oMath>
        <m:acc>
          <m:accPr>
            <m:chr m:val="̅"/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t xml:space="preserve"> after (accent (overbar)).</w:t>
      </w:r>
    </w:p>
    <w:p>
      <m:oMathPara>
        <m:oMath>
          <m:acc>
            <m:accPr>
              <m:chr m:val="̅"/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</m:oMath>
      </m:oMathPara>
    </w:p>
    <w:p>
      <w:r>
        <w:t xml:space="preserve">func inline: before </w:t>
      </w:r>
      <m:oMath>
        <m:func>
          <m:fName>
            <m:r>
              <w:rPr>
                <w:rFonts w:ascii="Cambria Math" w:hAnsi="Cambria Math"/>
              </w:rPr>
              <m:t>sin</m:t>
            </m:r>
          </m:fName>
          <m:e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>2θ</m:t>
                </m:r>
              </m:e>
            </m:d>
          </m:e>
        </m:func>
      </m:oMath>
      <w:r>
        <w:t xml:space="preserve"> after (function name applied to an argument).</w:t>
      </w:r>
    </w:p>
    <w:p>
      <m:oMathPara>
        <m:oMath>
          <m:func>
            <m:fName>
              <m: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>2θ</m:t>
                  </m:r>
                </m:e>
              </m:d>
            </m:e>
          </m:func>
        </m:oMath>
      </m:oMathPara>
    </w:p>
    <w:p>
      <w:r>
        <w:t xml:space="preserve">matrix inline: before </w:t>
      </w:r>
      <m:oMath>
        <m:d>
          <m:dPr>
            <m:begChr m:val="("/>
            <m:endChr m:val=")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mr>
            </m:m>
          </m:e>
        </m:d>
      </m:oMath>
      <w:r>
        <w:t xml:space="preserve"> after (2x2 matrix inside delimiters).</w:t>
      </w:r>
    </w:p>
    <w:p>
      <m:oMathPara>
        <m:oMath>
          <m:d>
            <m:dPr>
              <m:begChr m:val="("/>
              <m:endChr m:val=")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mr>
              </m:m>
            </m:e>
          </m:d>
        </m:oMath>
      </m:oMathPara>
    </w:p>
    <w:p>
      <w:r>
        <w:t xml:space="preserve">mixed inline: before </w:t>
      </w:r>
      <m:oMath>
        <m:f>
          <m:fPr>
            <m:type m:val="bar"/>
          </m:fPr>
          <m:num>
            <m:rad>
              <m:radPr>
                <m:degHide m:val="1"/>
              </m:radPr>
              <m:deg/>
              <m:e>
                <m:sSub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MTOM</m:t>
                    </m:r>
                  </m:sub>
                </m:sSub>
              </m:e>
            </m:rad>
          </m:num>
          <m:den>
            <m:sSub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sSub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</m:den>
        </m:f>
      </m:oMath>
      <w:r>
        <w:t xml:space="preserve"> after (fraction, radical, subscript and n-ary in one formula).</w:t>
      </w:r>
    </w:p>
    <w:p>
      <m:oMathPara>
        <m:oMath>
          <m:f>
            <m:fPr>
              <m:type m:val="bar"/>
            </m:fPr>
            <m:num>
              <m:rad>
                <m:radPr>
                  <m:degHide m:val="1"/>
                </m:radPr>
                <m:deg/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MTOM</m:t>
                      </m:r>
                    </m:sub>
                  </m:sSub>
                </m:e>
              </m:rad>
            </m:num>
            <m:den>
              <m:sSub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den>
          </m:f>
        </m:oMath>
      </m:oMathPara>
    </w:p>
    <w:p>
      <w:r>
        <w:t xml:space="preserve">Running text with </w:t>
      </w:r>
      <m:oMath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then </w:t>
      </w:r>
      <m:oMath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then 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 xml:space="preserve"> and the sentence carries on to the end of the measure so that a line break has to be taken somewhere after the formulas.</w:t>
      </w:r>
    </w:p>
    <w:sectPr>
      <w:pgSz w:w="11906" w:h="16838"/>
      <w:pgMar w:top="1134" w:right="1134" w:bottom="1134" w:left="1134" w:header="709" w:footer="709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