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asured"/>
        <w:bidi w:val="0"/>
        <w:spacing w:lineRule="auto" w:line="240" w:before="0" w:after="0"/>
        <w:ind w:hanging="0"/>
        <w:jc w:val="start"/>
        <w:rPr/>
      </w:pPr>
      <w:r>
        <w:rPr/>
        <w:t>Extraction and rendering are separate paths through the library, because extraction is the common case and must not pay for fonts, layout or a rasteriser it never uses.</w:t>
      </w:r>
    </w:p>
    <w:sectPr>
      <w:headerReference w:type="default" r:id="rId2"/>
      <w:footerReference w:type="default" r:id="rId3"/>
      <w:type w:val="nextPage"/>
      <w:pgSz w:w="10205" w:h="13606"/>
      <w:pgMar w:left="1701" w:right="850" w:gutter="0" w:header="1417" w:top="2097" w:footer="1134" w:bottom="170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>Running foot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>Running head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Measured">
    <w:name w:val="Measured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4"/>
      <w:szCs w:val="24"/>
      <w:lang w:val="en-GB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