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 table wider than the text area. Centred, its overflow is shared between the two margins and every column stays on the paper; left where an indent puts it, the right-hand columns fall off the page and their text neither draws nor extracts.</w:t>
      </w:r>
    </w:p>
    <w:tbl>
      <w:tblPr>
        <w:tblW w:w="1296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left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middle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right</w:t>
            </w:r>
          </w:p>
        </w:tc>
      </w:tr>
    </w:tbl>
    <w:p>
      <w:pPr>
        <w:pStyle w:val="Normal"/>
        <w:bidi w:val="0"/>
        <w:jc w:val="left"/>
        <w:rPr/>
      </w:pPr>
      <w:r>
        <w:rPr/>
        <w:t>After the table.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