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440"/>
              <w:left w:type="dxa" w:w="500"/>
              <w:bottom w:type="dxa" w:w="440"/>
              <w:right w:type="dxa" w:w="500"/>
            </w:tcMar>
          </w:tcPr>
          <w:p>
            <w:pPr>
              <w:jc w:val="center"/>
            </w:pPr>
            <w:r>
              <w:rPr>
                <w:rFonts w:ascii="Arial" w:cs="Arial" w:eastAsia="Arial" w:hAnsi="Arial"/>
                <w:b/>
                <w:bCs/>
                <w:color w:val="FFFFFF"/>
                <w:sz w:val="38"/>
                <w:szCs w:val="38"/>
              </w:rPr>
              <w:t xml:space="preserve">DOCUMENTO DE ARQUITECTURA DE SOFTWARE (SAD)</w:t>
            </w:r>
          </w:p>
          <w:p>
            <w:pPr>
              <w:spacing w:before="100"/>
              <w:jc w:val="center"/>
            </w:pPr>
            <w:r>
              <w:rPr>
                <w:rFonts w:ascii="Arial" w:cs="Arial" w:eastAsia="Arial" w:hAnsi="Arial"/>
                <w:i/>
                <w:iCs/>
                <w:color w:val="A8C4E5"/>
                <w:sz w:val="22"/>
                <w:szCs w:val="22"/>
              </w:rPr>
              <w:t xml:space="preserve">SistemaIA Pro – INNOVATEC COLOMBIA S.A.S.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1"/>
              <w:left w:val="single" w:color="D0D7E3" w:sz="1"/>
              <w:bottom w:val="single" w:color="D0D7E3" w:sz="1"/>
              <w:right w:val="single" w:color="D0D7E3"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Código</w:t>
            </w:r>
          </w:p>
        </w:tc>
        <w:tc>
          <w:tcPr>
            <w:tcW w:type="dxa" w:w="656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b/>
                <w:bCs/>
                <w:color w:val="FFFFFF"/>
                <w:sz w:val="20"/>
                <w:szCs w:val="20"/>
              </w:rPr>
              <w:t xml:space="preserve">SAD-DEV-001</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Versión</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1.0</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Fecha</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22 de julio de 2025</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Elaborado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Luis H. Bermúdez – Arquitecto de Software, NEXUS AI SOLUTIONS</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Revisado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Valentina Torres Ospina – Gerente de Proyecto</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Estándar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IEEE 1471-2000 / C4 Model (Simon Brown)</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Estado</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Aprobado</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1. INTRODUCCIÓN</w:t>
      </w:r>
    </w:p>
    <w:p>
      <w:pPr>
        <w:pStyle w:val="Heading2"/>
        <w:spacing w:after="120" w:before="240"/>
      </w:pPr>
      <w:r>
        <w:rPr>
          <w:rFonts w:ascii="Arial" w:cs="Arial" w:eastAsia="Arial" w:hAnsi="Arial"/>
          <w:b/>
          <w:bCs/>
          <w:color w:val="2E5C99"/>
          <w:sz w:val="24"/>
          <w:szCs w:val="24"/>
        </w:rPr>
        <w:t xml:space="preserve">1.1 Propósito</w:t>
      </w:r>
    </w:p>
    <w:p>
      <w:pPr>
        <w:spacing w:after="100" w:before="60" w:line="280"/>
        <w:jc w:val="both"/>
      </w:pPr>
      <w:r>
        <w:rPr>
          <w:rFonts w:ascii="Arial" w:cs="Arial" w:eastAsia="Arial" w:hAnsi="Arial"/>
          <w:color w:val="1A1A1A"/>
          <w:sz w:val="22"/>
          <w:szCs w:val="22"/>
        </w:rPr>
        <w:t xml:space="preserve">El Documento de Arquitectura de Software (SAD) describe la arquitectura técnica del sistema SistemaIA Pro, estableciendo las decisiones de diseño estructurales, los componentes principales, sus interacciones, patrones arquitectónicos aplicados y las razones que justifican cada decisión. Este documento es la referencia técnica definitiva para el equipo de desarrollo durante toda la Fase de Desarrollo del proyecto CON-IA-2025-001.</w:t>
      </w:r>
    </w:p>
    <w:p>
      <w:pPr>
        <w:pStyle w:val="Heading2"/>
        <w:spacing w:after="120" w:before="240"/>
      </w:pPr>
      <w:r>
        <w:rPr>
          <w:rFonts w:ascii="Arial" w:cs="Arial" w:eastAsia="Arial" w:hAnsi="Arial"/>
          <w:b/>
          <w:bCs/>
          <w:color w:val="2E5C99"/>
          <w:sz w:val="24"/>
          <w:szCs w:val="24"/>
        </w:rPr>
        <w:t xml:space="preserve">1.2 Alcance Arquitectónico</w:t>
      </w:r>
    </w:p>
    <w:p>
      <w:pPr>
        <w:spacing w:after="100" w:before="60" w:line="280"/>
        <w:jc w:val="both"/>
      </w:pPr>
      <w:r>
        <w:rPr>
          <w:rFonts w:ascii="Arial" w:cs="Arial" w:eastAsia="Arial" w:hAnsi="Arial"/>
          <w:color w:val="1A1A1A"/>
          <w:sz w:val="22"/>
          <w:szCs w:val="22"/>
        </w:rPr>
        <w:t xml:space="preserve">La arquitectura descrita en este documento abarca la totalidad del sistema SistemaIA Pro: capa de presentación (frontend), capa de lógica de negocio (backend), capa de inteligencia artificial (modelos ML/NLP), capa de datos (bases de datos relacionales y NoSQL), capa de integración (APIs externas) e infraestructura cloud (AWS).</w:t>
      </w:r>
    </w:p>
    <w:p>
      <w:pPr>
        <w:pStyle w:val="Heading2"/>
        <w:spacing w:after="120" w:before="240"/>
      </w:pPr>
      <w:r>
        <w:rPr>
          <w:rFonts w:ascii="Arial" w:cs="Arial" w:eastAsia="Arial" w:hAnsi="Arial"/>
          <w:b/>
          <w:bCs/>
          <w:color w:val="2E5C99"/>
          <w:sz w:val="24"/>
          <w:szCs w:val="24"/>
        </w:rPr>
        <w:t xml:space="preserve">1.3 Representación Arquitectónica</w:t>
      </w:r>
    </w:p>
    <w:p>
      <w:pPr>
        <w:spacing w:after="100" w:before="60" w:line="280"/>
        <w:jc w:val="both"/>
      </w:pPr>
      <w:r>
        <w:rPr>
          <w:rFonts w:ascii="Arial" w:cs="Arial" w:eastAsia="Arial" w:hAnsi="Arial"/>
          <w:color w:val="1A1A1A"/>
          <w:sz w:val="22"/>
          <w:szCs w:val="22"/>
        </w:rPr>
        <w:t xml:space="preserve">Este documento utiliza el modelo C4 (Context, Containers, Components, Code) de Simon Brown para describir la arquitectura en distintos niveles de abstracción, complementado con diagramas de secuencia para los flujos más críticos del sistema.</w:t>
      </w:r>
    </w:p>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2. METAS Y RESTRICCIONES ARQUITECTÓNICAS</w:t>
      </w:r>
    </w:p>
    <w:p>
      <w:pPr>
        <w:pStyle w:val="Heading2"/>
        <w:spacing w:after="120" w:before="240"/>
      </w:pPr>
      <w:r>
        <w:rPr>
          <w:rFonts w:ascii="Arial" w:cs="Arial" w:eastAsia="Arial" w:hAnsi="Arial"/>
          <w:b/>
          <w:bCs/>
          <w:color w:val="2E5C99"/>
          <w:sz w:val="24"/>
          <w:szCs w:val="24"/>
        </w:rPr>
        <w:t xml:space="preserve">2.1 Metas Arquitectónicas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Atributo de Calidad</w:t>
            </w:r>
          </w:p>
        </w:tc>
        <w:tc>
          <w:tcPr>
            <w:tcW w:type="dxa" w:w="45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Meta</w:t>
            </w:r>
          </w:p>
        </w:tc>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Mecanismo Arquitectónico</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Disponibilidad</w:t>
            </w:r>
          </w:p>
        </w:tc>
        <w:tc>
          <w:tcPr>
            <w:tcW w:type="dxa" w:w="4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99% uptime en horario laboral (6am–8pm, L–S)</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Despliegue en AWS con Auto Scaling, Load Balancer y health checks</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Rendimiento</w:t>
            </w:r>
          </w:p>
        </w:tc>
        <w:tc>
          <w:tcPr>
            <w:tcW w:type="dxa" w:w="4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P95 &lt; 2 seg con 200 usuarios concurrentes</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Caché Redis, CDN CloudFront, consultas optimizadas con índices PostgreSQL</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Escalabilidad</w:t>
            </w:r>
          </w:p>
        </w:tc>
        <w:tc>
          <w:tcPr>
            <w:tcW w:type="dxa" w:w="4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Soportar +50% de usuarios sin rediseño</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Arquitectura de microservicios con contenedores Docker en ECS Fargate</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Seguridad</w:t>
            </w:r>
          </w:p>
        </w:tc>
        <w:tc>
          <w:tcPr>
            <w:tcW w:type="dxa" w:w="4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Cero vulnerabilidades OWASP Top 10</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HTTPS/TLS 1.3, JWT + MFA, WAF AWS, cifrado AES-256 en reposo</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Mantenibilidad</w:t>
            </w:r>
          </w:p>
        </w:tc>
        <w:tc>
          <w:tcPr>
            <w:tcW w:type="dxa" w:w="45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Cobertura de pruebas &gt; 80%</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Arquitectura hexagonal, inyección de dependencias, CI/CD automatizado</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Observabilidad</w:t>
            </w:r>
          </w:p>
        </w:tc>
        <w:tc>
          <w:tcPr>
            <w:tcW w:type="dxa" w:w="45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Monitoreo completo en tiempo real</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AWS CloudWatch, Sentry para errores, logs centralizados con ELK Stack</w:t>
            </w:r>
          </w:p>
        </w:tc>
      </w:tr>
    </w:tbl>
    <w:p>
      <w:pPr>
        <w:pStyle w:val="Heading2"/>
        <w:spacing w:after="120" w:before="240"/>
      </w:pPr>
      <w:r>
        <w:rPr>
          <w:rFonts w:ascii="Arial" w:cs="Arial" w:eastAsia="Arial" w:hAnsi="Arial"/>
          <w:b/>
          <w:bCs/>
          <w:color w:val="2E5C99"/>
          <w:sz w:val="24"/>
          <w:szCs w:val="24"/>
        </w:rPr>
        <w:t xml:space="preserve">2.2 Restricciones Arquitectónicas</w:t>
      </w:r>
    </w:p>
    <w:p>
      <w:pPr>
        <w:pStyle w:val="ListParagraph"/>
        <w:numPr>
          <w:ilvl w:val="0"/>
          <w:numId w:val="2"/>
        </w:numPr>
        <w:spacing w:after="80" w:before="40" w:line="260"/>
      </w:pPr>
      <w:r>
        <w:rPr>
          <w:rFonts w:ascii="Arial" w:cs="Arial" w:eastAsia="Arial" w:hAnsi="Arial"/>
          <w:color w:val="1A1A1A"/>
          <w:sz w:val="22"/>
          <w:szCs w:val="22"/>
        </w:rPr>
        <w:t xml:space="preserve">Toda la infraestructura cloud debe desplegarse en regiones AWS us-east-1 o sa-east-1 (restricción contractual).</w:t>
      </w:r>
    </w:p>
    <w:p>
      <w:pPr>
        <w:pStyle w:val="ListParagraph"/>
        <w:numPr>
          <w:ilvl w:val="0"/>
          <w:numId w:val="2"/>
        </w:numPr>
        <w:spacing w:after="80" w:before="40" w:line="260"/>
      </w:pPr>
      <w:r>
        <w:rPr>
          <w:rFonts w:ascii="Arial" w:cs="Arial" w:eastAsia="Arial" w:hAnsi="Arial"/>
          <w:color w:val="1A1A1A"/>
          <w:sz w:val="22"/>
          <w:szCs w:val="22"/>
        </w:rPr>
        <w:t xml:space="preserve">Solo se utilizarán tecnologías listadas en el Anexo B del contrato CON-IA-2025-001.</w:t>
      </w:r>
    </w:p>
    <w:p>
      <w:pPr>
        <w:pStyle w:val="ListParagraph"/>
        <w:numPr>
          <w:ilvl w:val="0"/>
          <w:numId w:val="2"/>
        </w:numPr>
        <w:spacing w:after="80" w:before="40" w:line="260"/>
      </w:pPr>
      <w:r>
        <w:rPr>
          <w:rFonts w:ascii="Arial" w:cs="Arial" w:eastAsia="Arial" w:hAnsi="Arial"/>
          <w:color w:val="1A1A1A"/>
          <w:sz w:val="22"/>
          <w:szCs w:val="22"/>
        </w:rPr>
        <w:t xml:space="preserve">Los datos personales de empleados y clientes de INNOVATEC deben permanecer en servidores dentro de Colombia (Ley 1581/2012).</w:t>
      </w:r>
    </w:p>
    <w:p>
      <w:pPr>
        <w:pStyle w:val="ListParagraph"/>
        <w:numPr>
          <w:ilvl w:val="0"/>
          <w:numId w:val="2"/>
        </w:numPr>
        <w:spacing w:after="80" w:before="40" w:line="260"/>
      </w:pPr>
      <w:r>
        <w:rPr>
          <w:rFonts w:ascii="Arial" w:cs="Arial" w:eastAsia="Arial" w:hAnsi="Arial"/>
          <w:color w:val="1A1A1A"/>
          <w:sz w:val="22"/>
          <w:szCs w:val="22"/>
        </w:rPr>
        <w:t xml:space="preserve">El sistema debe integrarse con el ERP SAP Business One 10.0 existente de INNOVATEC mediante API REST.</w:t>
      </w:r>
    </w:p>
    <w:p>
      <w:pPr>
        <w:pStyle w:val="ListParagraph"/>
        <w:numPr>
          <w:ilvl w:val="0"/>
          <w:numId w:val="2"/>
        </w:numPr>
        <w:spacing w:after="80" w:before="40" w:line="260"/>
      </w:pPr>
      <w:r>
        <w:rPr>
          <w:rFonts w:ascii="Arial" w:cs="Arial" w:eastAsia="Arial" w:hAnsi="Arial"/>
          <w:color w:val="1A1A1A"/>
          <w:sz w:val="22"/>
          <w:szCs w:val="22"/>
        </w:rPr>
        <w:t xml:space="preserve">El presupuesto mensual de infraestructura cloud no debe superar los $ 3.500.000 COP.</w:t>
      </w:r>
    </w:p>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3. VISTA DE CONTEXTO DEL SISTEMA (C4 – Nivel 1)</w:t>
      </w:r>
    </w:p>
    <w:p>
      <w:pPr>
        <w:pStyle w:val="Heading2"/>
        <w:spacing w:after="120" w:before="240"/>
      </w:pPr>
      <w:r>
        <w:rPr>
          <w:rFonts w:ascii="Arial" w:cs="Arial" w:eastAsia="Arial" w:hAnsi="Arial"/>
          <w:b/>
          <w:bCs/>
          <w:color w:val="2E5C99"/>
          <w:sz w:val="24"/>
          <w:szCs w:val="24"/>
        </w:rPr>
        <w:t xml:space="preserve">3.1 Actores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Actor</w:t>
            </w:r>
          </w:p>
        </w:tc>
        <w:tc>
          <w:tcPr>
            <w:tcW w:type="dxa" w:w="32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Tipo</w:t>
            </w:r>
          </w:p>
        </w:tc>
        <w:tc>
          <w:tcPr>
            <w:tcW w:type="dxa" w:w="40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Interacción con SistemaIA Pro</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Usuarios INNOVATEC</w:t>
            </w:r>
          </w:p>
        </w:tc>
        <w:tc>
          <w:tcPr>
            <w:tcW w:type="dxa" w:w="32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Personas (Gerentes, Jefes, Operarios, Admins)</w:t>
            </w:r>
          </w:p>
        </w:tc>
        <w:tc>
          <w:tcPr>
            <w:tcW w:type="dxa" w:w="40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Acceden al sistema vía navegador web usando HTTPS. Autenticados con JWT + MFA.</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SAP Business One 10.0</w:t>
            </w:r>
          </w:p>
        </w:tc>
        <w:tc>
          <w:tcPr>
            <w:tcW w:type="dxa" w:w="32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Sistema externo – ERP de INNOVATEC</w:t>
            </w:r>
          </w:p>
        </w:tc>
        <w:tc>
          <w:tcPr>
            <w:tcW w:type="dxa" w:w="40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Sincronización bidireccional de datos transaccionales mediante API REST + OAuth2.</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AWS SES (Email)</w:t>
            </w:r>
          </w:p>
        </w:tc>
        <w:tc>
          <w:tcPr>
            <w:tcW w:type="dxa" w:w="32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Servicio externo – Notificaciones</w:t>
            </w:r>
          </w:p>
        </w:tc>
        <w:tc>
          <w:tcPr>
            <w:tcW w:type="dxa" w:w="40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envía emails de alerta, OTP y reportes a través de AWS SES.</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OpenAI API</w:t>
            </w:r>
          </w:p>
        </w:tc>
        <w:tc>
          <w:tcPr>
            <w:tcW w:type="dxa" w:w="32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Servicio externo – IA/NLP</w:t>
            </w:r>
          </w:p>
        </w:tc>
        <w:tc>
          <w:tcPr>
            <w:tcW w:type="dxa" w:w="40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módulo NLP consulta GPT-4o para procesamiento de lenguaje natural avanzado.</w:t>
            </w:r>
          </w:p>
        </w:tc>
      </w:tr>
      <w:tr>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HuggingFace Hub</w:t>
            </w:r>
          </w:p>
        </w:tc>
        <w:tc>
          <w:tcPr>
            <w:tcW w:type="dxa" w:w="32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Servicio externo – Modelos ML</w:t>
            </w:r>
          </w:p>
        </w:tc>
        <w:tc>
          <w:tcPr>
            <w:tcW w:type="dxa" w:w="40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Descarga de modelos pre-entrenados para analítica predictiva (bert-base-multilingual).</w:t>
            </w:r>
          </w:p>
        </w:tc>
      </w:tr>
      <w:tr>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AWS S3</w:t>
            </w:r>
          </w:p>
        </w:tc>
        <w:tc>
          <w:tcPr>
            <w:tcW w:type="dxa" w:w="32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Servicio externo – Almacenamiento</w:t>
            </w:r>
          </w:p>
        </w:tc>
        <w:tc>
          <w:tcPr>
            <w:tcW w:type="dxa" w:w="40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Almacenamiento de documentos cargados por usuarios y reportes generados.</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4. VISTA DE CONTENEDORES (C4 – Nivel 2)</w:t>
      </w:r>
    </w:p>
    <w:p>
      <w:pPr>
        <w:pStyle w:val="Heading2"/>
        <w:spacing w:after="120" w:before="240"/>
      </w:pPr>
      <w:r>
        <w:rPr>
          <w:rFonts w:ascii="Arial" w:cs="Arial" w:eastAsia="Arial" w:hAnsi="Arial"/>
          <w:b/>
          <w:bCs/>
          <w:color w:val="2E5C99"/>
          <w:sz w:val="24"/>
          <w:szCs w:val="24"/>
        </w:rPr>
        <w:t xml:space="preserve">4.1 Contenedores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360"/>
        <w:gridCol w:w="3600"/>
      </w:tblGrid>
      <w:tr>
        <w:tc>
          <w:tcPr>
            <w:tcW w:type="dxa" w:w="1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Contenedor</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Tecnología</w:t>
            </w:r>
          </w:p>
        </w:tc>
        <w:tc>
          <w:tcPr>
            <w:tcW w:type="dxa" w:w="2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Puerto / Protocolo</w:t>
            </w:r>
          </w:p>
        </w:tc>
        <w:tc>
          <w:tcPr>
            <w:tcW w:type="dxa" w:w="3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Responsabilidad</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Web App (SPA)</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React 18 + TypeScript + Tailwind</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HTTPS :443</w:t>
            </w:r>
          </w:p>
        </w:tc>
        <w:tc>
          <w:tcPr>
            <w:tcW w:type="dxa" w:w="3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Interfaz de usuario. Consume API Gateway. Renderiza dashboards, formularios y visualizaciones.</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API Gateway</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FastAPI 0.104 + Python 3.11</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HTTPS :8000</w:t>
            </w:r>
          </w:p>
        </w:tc>
        <w:tc>
          <w:tcPr>
            <w:tcW w:type="dxa" w:w="3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Punto de entrada único. Routing, autenticación JWT, rate limiting y logging de peticiones.</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Auth Service</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FastAPI + PyJWT + TOTP</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Interno :8001</w:t>
            </w:r>
          </w:p>
        </w:tc>
        <w:tc>
          <w:tcPr>
            <w:tcW w:type="dxa" w:w="3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Gestión de sesiones, tokens JWT, validación MFA (TOTP), roles y permisos RBAC.</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Workflow Engine</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FastAPI + Celery + Redis</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Interno :8002</w:t>
            </w:r>
          </w:p>
        </w:tc>
        <w:tc>
          <w:tcPr>
            <w:tcW w:type="dxa" w:w="3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Motor de flujos de trabajo. Ejecuta tareas, gestiona SLAs y genera alertas.</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AI/ML Service</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FastAPI + TensorFlow + PyTorch</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Interno :8003</w:t>
            </w:r>
          </w:p>
        </w:tc>
        <w:tc>
          <w:tcPr>
            <w:tcW w:type="dxa" w:w="3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Entrenamiento e inferencia de modelos ML. Analítica predictiva, detección anomalías y recomendaciones.</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NLP Service</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FastAPI + HuggingFace + OpenAI</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Interno :8004</w:t>
            </w:r>
          </w:p>
        </w:tc>
        <w:tc>
          <w:tcPr>
            <w:tcW w:type="dxa" w:w="3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Clasificación de documentos, extracción de entidades y búsqueda semántica.</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Notification Service</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FastAPI + Celery + AWS SES</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Interno :8005</w:t>
            </w:r>
          </w:p>
        </w:tc>
        <w:tc>
          <w:tcPr>
            <w:tcW w:type="dxa" w:w="3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Envío de alertas, OTPs y reportes por email/SMS mediante colas de mensajes.</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PostgreSQL 16</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AWS RDS (db.t3.medium)</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Interno :5432</w:t>
            </w:r>
          </w:p>
        </w:tc>
        <w:tc>
          <w:tcPr>
            <w:tcW w:type="dxa" w:w="3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Datos transaccionales: usuarios, flujos, tareas, KPIs, logs de auditoría.</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MongoDB 7.0</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AWS DocumentDB</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Interno :27017</w:t>
            </w:r>
          </w:p>
        </w:tc>
        <w:tc>
          <w:tcPr>
            <w:tcW w:type="dxa" w:w="3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Documentos cargados, resultados NLP, configuraciones de widgets del dashboard.</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Redis 7.2</w:t>
            </w:r>
          </w:p>
        </w:tc>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AWS ElastiCache</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Interno :6379</w:t>
            </w:r>
          </w:p>
        </w:tc>
        <w:tc>
          <w:tcPr>
            <w:tcW w:type="dxa" w:w="3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Caché de sesiones, colas de tareas Celery, datos en tiempo real del dashboard.</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MinIO / S3</w:t>
            </w:r>
          </w:p>
        </w:tc>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AWS S3</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val="false"/>
                <w:bCs w:val="false"/>
                <w:color w:val="1A1A1A"/>
                <w:sz w:val="20"/>
                <w:szCs w:val="20"/>
              </w:rPr>
              <w:t xml:space="preserve">HTTPS / SDK</w:t>
            </w:r>
          </w:p>
        </w:tc>
        <w:tc>
          <w:tcPr>
            <w:tcW w:type="dxa" w:w="3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Almacenamiento de archivos: documentos, modelos ML entrenados, reportes exportados.</w:t>
            </w:r>
          </w:p>
        </w:tc>
      </w:tr>
    </w:tbl>
    <w:p>
      <w:pPr>
        <w:pStyle w:val="Heading2"/>
        <w:spacing w:after="120" w:before="240"/>
      </w:pPr>
      <w:r>
        <w:rPr>
          <w:rFonts w:ascii="Arial" w:cs="Arial" w:eastAsia="Arial" w:hAnsi="Arial"/>
          <w:b/>
          <w:bCs/>
          <w:color w:val="2E5C99"/>
          <w:sz w:val="24"/>
          <w:szCs w:val="24"/>
        </w:rPr>
        <w:t xml:space="preserve">4.2 Diagrama de Contenedores – Descripción</w:t>
      </w:r>
    </w:p>
    <w:p>
      <w:pPr>
        <w:spacing w:after="100" w:before="60" w:line="280"/>
        <w:jc w:val="both"/>
      </w:pPr>
      <w:r>
        <w:rPr>
          <w:rFonts w:ascii="Arial" w:cs="Arial" w:eastAsia="Arial" w:hAnsi="Arial"/>
          <w:color w:val="1A1A1A"/>
          <w:sz w:val="22"/>
          <w:szCs w:val="22"/>
        </w:rPr>
        <w:t xml:space="preserve">El flujo de una petición estándar sigue este camino: el Usuario accede a la Web App (React SPA) mediante HTTPS. La SPA realiza llamadas REST al API Gateway. El API Gateway valida el token JWT con el Auth Service y enruta la petición al microservicio correspondiente. Los microservicios acceden a PostgreSQL para datos estructurados, MongoDB para documentos, y Redis para caché. El AI/ML Service y el NLP Service son consultados de forma asíncrona mediante colas Celery para operaciones de larga duración, evitando bloquear la experiencia del usuario.</w:t>
      </w:r>
    </w:p>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5. PATRONES ARQUITECTÓNICOS APLICADOS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Patrón</w:t>
            </w:r>
          </w:p>
        </w:tc>
        <w:tc>
          <w:tcPr>
            <w:tcW w:type="dxa" w:w="39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Descripción y Aplicación</w:t>
            </w:r>
          </w:p>
        </w:tc>
        <w:tc>
          <w:tcPr>
            <w:tcW w:type="dxa" w:w="3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Beneficio en SistemaIA Pro</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Microservicios</w:t>
            </w:r>
          </w:p>
        </w:tc>
        <w:tc>
          <w:tcPr>
            <w:tcW w:type="dxa" w:w="3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se divide en 7 servicios independientes deployables por separado, cada uno con su propia responsabilidad.</w:t>
            </w:r>
          </w:p>
        </w:tc>
        <w:tc>
          <w:tcPr>
            <w:tcW w:type="dxa" w:w="3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Escalabilidad independiente por servicio, despliegues sin downtime total, fácil mantenimiento.</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API Gateway Pattern</w:t>
            </w:r>
          </w:p>
        </w:tc>
        <w:tc>
          <w:tcPr>
            <w:tcW w:type="dxa" w:w="3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Un único punto de entrada (FastAPI) que enruta, autentica y registra todas las peticiones hacia los microservicios internos.</w:t>
            </w:r>
          </w:p>
        </w:tc>
        <w:tc>
          <w:tcPr>
            <w:tcW w:type="dxa" w:w="3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Simplificación del cliente, seguridad centralizada, observabilidad unificada.</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CQRS (Command Query Responsibility Segregation)</w:t>
            </w:r>
          </w:p>
        </w:tc>
        <w:tc>
          <w:tcPr>
            <w:tcW w:type="dxa" w:w="3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AI/ML Service separa las operaciones de escritura (entrenamiento) de las de lectura (inferencia), usando modelos de datos diferentes.</w:t>
            </w:r>
          </w:p>
        </w:tc>
        <w:tc>
          <w:tcPr>
            <w:tcW w:type="dxa" w:w="3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Optimización de rendimiento en consultas de predicciones sin afectar el entrenamiento.</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Event-Driven Architecture</w:t>
            </w:r>
          </w:p>
        </w:tc>
        <w:tc>
          <w:tcPr>
            <w:tcW w:type="dxa" w:w="3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Workflow Engine publica eventos en colas Redis/Celery cuando una tarea cambia de estado; el Notification Service las consume.</w:t>
            </w:r>
          </w:p>
        </w:tc>
        <w:tc>
          <w:tcPr>
            <w:tcW w:type="dxa" w:w="3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Desacoplamiento entre servicios, procesamiento asíncrono, resiliencia ante fallos.</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Repository Pattern</w:t>
            </w:r>
          </w:p>
        </w:tc>
        <w:tc>
          <w:tcPr>
            <w:tcW w:type="dxa" w:w="3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Capa de abstracción entre la lógica de negocio y el acceso a datos en todos los microservicios backend.</w:t>
            </w:r>
          </w:p>
        </w:tc>
        <w:tc>
          <w:tcPr>
            <w:tcW w:type="dxa" w:w="3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Facilita pruebas unitarias con mocks, permite cambiar el motor de BD sin modificar la lógica.</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Circuit Breaker</w:t>
            </w:r>
          </w:p>
        </w:tc>
        <w:tc>
          <w:tcPr>
            <w:tcW w:type="dxa" w:w="3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Implementado con la biblioteca tenacity en las llamadas a servicios externos (OpenAI API, ERP SAP).</w:t>
            </w:r>
          </w:p>
        </w:tc>
        <w:tc>
          <w:tcPr>
            <w:tcW w:type="dxa" w:w="3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Previene fallos en cascada cuando un servicio externo no responde o es lento.</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Arquitectura Hexagonal</w:t>
            </w:r>
          </w:p>
        </w:tc>
        <w:tc>
          <w:tcPr>
            <w:tcW w:type="dxa" w:w="3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núcleo de cada microservicio define puertos e interfaces; los adaptadores implementan la tecnología concreta (FastAPI, PostgreSQL).</w:t>
            </w:r>
          </w:p>
        </w:tc>
        <w:tc>
          <w:tcPr>
            <w:tcW w:type="dxa" w:w="3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Alta mantenibilidad, facilidad para cambiar tecnologías sin refactorizar la lógica de negocio.</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6. ARQUITECTURA DE INFRAESTRUCTURA (AWS)</w:t>
      </w:r>
    </w:p>
    <w:p>
      <w:pPr>
        <w:pStyle w:val="Heading2"/>
        <w:spacing w:after="120" w:before="240"/>
      </w:pPr>
      <w:r>
        <w:rPr>
          <w:rFonts w:ascii="Arial" w:cs="Arial" w:eastAsia="Arial" w:hAnsi="Arial"/>
          <w:b/>
          <w:bCs/>
          <w:color w:val="2E5C99"/>
          <w:sz w:val="24"/>
          <w:szCs w:val="24"/>
        </w:rPr>
        <w:t xml:space="preserve">6.1 Componentes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Servicio AWS</w:t>
            </w:r>
          </w:p>
        </w:tc>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Tipo / Tier</w:t>
            </w:r>
          </w:p>
        </w:tc>
        <w:tc>
          <w:tcPr>
            <w:tcW w:type="dxa" w:w="47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Configuración y Propósito</w:t>
            </w:r>
          </w:p>
        </w:tc>
      </w:tr>
      <w:tr>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CloudFront</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CDN</w:t>
            </w:r>
          </w:p>
        </w:tc>
        <w:tc>
          <w:tcPr>
            <w:tcW w:type="dxa" w:w="4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Distribución de la SPA React (archivos estáticos). Caché con TTL de 24h. SSL/TLS terminado aquí.</w:t>
            </w:r>
          </w:p>
        </w:tc>
      </w:tr>
      <w:tr>
        <w:tc>
          <w:tcPr>
            <w:tcW w:type="dxa" w:w="2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Application Load Balancer</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Load Balancer</w:t>
            </w:r>
          </w:p>
        </w:tc>
        <w:tc>
          <w:tcPr>
            <w:tcW w:type="dxa" w:w="4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Distribuye tráfico entre instancias del API Gateway. Health checks cada 30 seg. Sticky sessions deshabilitadas.</w:t>
            </w:r>
          </w:p>
        </w:tc>
      </w:tr>
      <w:tr>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ECS Fargate</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Compute (Serverless)</w:t>
            </w:r>
          </w:p>
        </w:tc>
        <w:tc>
          <w:tcPr>
            <w:tcW w:type="dxa" w:w="4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Orquestación de contenedores Docker de los 7 microservicios. Auto Scaling basado en CPU &gt; 70%.</w:t>
            </w:r>
          </w:p>
        </w:tc>
      </w:tr>
      <w:tr>
        <w:tc>
          <w:tcPr>
            <w:tcW w:type="dxa" w:w="2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RDS PostgreSQL 16</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Base de datos gestionada</w:t>
            </w:r>
          </w:p>
        </w:tc>
        <w:tc>
          <w:tcPr>
            <w:tcW w:type="dxa" w:w="4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Multi-AZ para alta disponibilidad. Backups automáticos diarios. Retención 30 días. Cifrado AES-256.</w:t>
            </w:r>
          </w:p>
        </w:tc>
      </w:tr>
      <w:tr>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DocumentDB</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MongoDB Compatible</w:t>
            </w:r>
          </w:p>
        </w:tc>
        <w:tc>
          <w:tcPr>
            <w:tcW w:type="dxa" w:w="4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Replica set de 3 nodos. Backups automáticos. Cifrado en reposo. Usado para documentos y config NLP.</w:t>
            </w:r>
          </w:p>
        </w:tc>
      </w:tr>
      <w:tr>
        <w:tc>
          <w:tcPr>
            <w:tcW w:type="dxa" w:w="2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ElastiCache Redis</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Caché in-memory</w:t>
            </w:r>
          </w:p>
        </w:tc>
        <w:tc>
          <w:tcPr>
            <w:tcW w:type="dxa" w:w="4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Cluster de 2 nodos (primary + replica). Persistencia AOF habilitada. TTL de sesiones: 8 horas.</w:t>
            </w:r>
          </w:p>
        </w:tc>
      </w:tr>
      <w:tr>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S3</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Object Storage</w:t>
            </w:r>
          </w:p>
        </w:tc>
        <w:tc>
          <w:tcPr>
            <w:tcW w:type="dxa" w:w="4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3 buckets: documentos-entrada, modelos-ml, reportes-exportados. Versionado habilitado. Lifecycle a Glacier tras 90 días.</w:t>
            </w:r>
          </w:p>
        </w:tc>
      </w:tr>
      <w:tr>
        <w:tc>
          <w:tcPr>
            <w:tcW w:type="dxa" w:w="2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AWS WAF</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Web Application Firewall</w:t>
            </w:r>
          </w:p>
        </w:tc>
        <w:tc>
          <w:tcPr>
            <w:tcW w:type="dxa" w:w="4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Reglas OWASP Core Rule Set. Rate limiting: 1000 req/min por IP. Bloqueo por geolocalización si se requiere.</w:t>
            </w:r>
          </w:p>
        </w:tc>
      </w:tr>
      <w:tr>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CloudWatch</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Monitoreo y Logs</w:t>
            </w:r>
          </w:p>
        </w:tc>
        <w:tc>
          <w:tcPr>
            <w:tcW w:type="dxa" w:w="4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Métricas de todos los servicios. Alarmas configuradas para CPU&gt;80%, errores 5XX&gt;1%, latencia P95&gt;2s.</w:t>
            </w:r>
          </w:p>
        </w:tc>
      </w:tr>
      <w:tr>
        <w:tc>
          <w:tcPr>
            <w:tcW w:type="dxa" w:w="2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SES</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Email Service</w:t>
            </w:r>
          </w:p>
        </w:tc>
        <w:tc>
          <w:tcPr>
            <w:tcW w:type="dxa" w:w="47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Envío transaccional de OTPs, alertas y reportes. SPF/DKIM/DMARC configurados. Límite: 50.000 emails/día.</w:t>
            </w:r>
          </w:p>
        </w:tc>
      </w:tr>
      <w:tr>
        <w:tc>
          <w:tcPr>
            <w:tcW w:type="dxa" w:w="2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VPC (Virtual Private Cloud)</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Red privada</w:t>
            </w:r>
          </w:p>
        </w:tc>
        <w:tc>
          <w:tcPr>
            <w:tcW w:type="dxa" w:w="47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Subredes públicas (Load Balancer, CloudFront) y privadas (microservicios, bases de datos). NAT Gateway para salida.</w:t>
            </w:r>
          </w:p>
        </w:tc>
      </w:tr>
    </w:tbl>
    <w:p>
      <w:pPr>
        <w:pStyle w:val="Heading2"/>
        <w:spacing w:after="120" w:before="240"/>
      </w:pPr>
      <w:r>
        <w:rPr>
          <w:rFonts w:ascii="Arial" w:cs="Arial" w:eastAsia="Arial" w:hAnsi="Arial"/>
          <w:b/>
          <w:bCs/>
          <w:color w:val="2E5C99"/>
          <w:sz w:val="24"/>
          <w:szCs w:val="24"/>
        </w:rPr>
        <w:t xml:space="preserve">6.2 Estrategia de Alta Disponibilidad</w:t>
      </w:r>
    </w:p>
    <w:p>
      <w:pPr>
        <w:pStyle w:val="ListParagraph"/>
        <w:numPr>
          <w:ilvl w:val="0"/>
          <w:numId w:val="2"/>
        </w:numPr>
        <w:spacing w:after="80" w:before="40" w:line="260"/>
      </w:pPr>
      <w:r>
        <w:rPr>
          <w:rFonts w:ascii="Arial" w:cs="Arial" w:eastAsia="Arial" w:hAnsi="Arial"/>
          <w:color w:val="1A1A1A"/>
          <w:sz w:val="22"/>
          <w:szCs w:val="22"/>
        </w:rPr>
        <w:t xml:space="preserve">Multi-AZ: RDS PostgreSQL y ElastiCache Redis desplegados en 2 zonas de disponibilidad (us-east-1a y us-east-1b).</w:t>
      </w:r>
    </w:p>
    <w:p>
      <w:pPr>
        <w:pStyle w:val="ListParagraph"/>
        <w:numPr>
          <w:ilvl w:val="0"/>
          <w:numId w:val="2"/>
        </w:numPr>
        <w:spacing w:after="80" w:before="40" w:line="260"/>
      </w:pPr>
      <w:r>
        <w:rPr>
          <w:rFonts w:ascii="Arial" w:cs="Arial" w:eastAsia="Arial" w:hAnsi="Arial"/>
          <w:color w:val="1A1A1A"/>
          <w:sz w:val="22"/>
          <w:szCs w:val="22"/>
        </w:rPr>
        <w:t xml:space="preserve">Auto Scaling: ECS Fargate escala automáticamente entre 2 y 10 instancias según métricas de CPU y memoria.</w:t>
      </w:r>
    </w:p>
    <w:p>
      <w:pPr>
        <w:pStyle w:val="ListParagraph"/>
        <w:numPr>
          <w:ilvl w:val="0"/>
          <w:numId w:val="2"/>
        </w:numPr>
        <w:spacing w:after="80" w:before="40" w:line="260"/>
      </w:pPr>
      <w:r>
        <w:rPr>
          <w:rFonts w:ascii="Arial" w:cs="Arial" w:eastAsia="Arial" w:hAnsi="Arial"/>
          <w:color w:val="1A1A1A"/>
          <w:sz w:val="22"/>
          <w:szCs w:val="22"/>
        </w:rPr>
        <w:t xml:space="preserve">RTO (Recovery Time Objective): máximo 4 horas ante fallo catastrófico.</w:t>
      </w:r>
    </w:p>
    <w:p>
      <w:pPr>
        <w:pStyle w:val="ListParagraph"/>
        <w:numPr>
          <w:ilvl w:val="0"/>
          <w:numId w:val="2"/>
        </w:numPr>
        <w:spacing w:after="80" w:before="40" w:line="260"/>
      </w:pPr>
      <w:r>
        <w:rPr>
          <w:rFonts w:ascii="Arial" w:cs="Arial" w:eastAsia="Arial" w:hAnsi="Arial"/>
          <w:color w:val="1A1A1A"/>
          <w:sz w:val="22"/>
          <w:szCs w:val="22"/>
        </w:rPr>
        <w:t xml:space="preserve">RPO (Recovery Point Objective): máximo 1 hora de pérdida de datos (backups cada hora con Point-in-Time Recovery en RDS).</w:t>
      </w:r>
    </w:p>
    <w:p>
      <w:pPr>
        <w:pStyle w:val="ListParagraph"/>
        <w:numPr>
          <w:ilvl w:val="0"/>
          <w:numId w:val="2"/>
        </w:numPr>
        <w:spacing w:after="80" w:before="40" w:line="260"/>
      </w:pPr>
      <w:r>
        <w:rPr>
          <w:rFonts w:ascii="Arial" w:cs="Arial" w:eastAsia="Arial" w:hAnsi="Arial"/>
          <w:color w:val="1A1A1A"/>
          <w:sz w:val="22"/>
          <w:szCs w:val="22"/>
        </w:rPr>
        <w:t xml:space="preserve">Runbook de recuperación documentado en el Manual del Administrador (MAD-IMP-007).</w:t>
      </w:r>
    </w:p>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7. MODELO DE DATOS PRINCIPAL</w:t>
      </w:r>
    </w:p>
    <w:p>
      <w:pPr>
        <w:pStyle w:val="Heading2"/>
        <w:spacing w:after="120" w:before="240"/>
      </w:pPr>
      <w:r>
        <w:rPr>
          <w:rFonts w:ascii="Arial" w:cs="Arial" w:eastAsia="Arial" w:hAnsi="Arial"/>
          <w:b/>
          <w:bCs/>
          <w:color w:val="2E5C99"/>
          <w:sz w:val="24"/>
          <w:szCs w:val="24"/>
        </w:rPr>
        <w:t xml:space="preserve">7.1 Entidades Clave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360"/>
        <w:gridCol w:w="3200"/>
      </w:tblGrid>
      <w:tr>
        <w:tc>
          <w:tcPr>
            <w:tcW w:type="dxa" w:w="1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Entidad / Tabla</w:t>
            </w:r>
          </w:p>
        </w:tc>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Campos Principales</w:t>
            </w:r>
          </w:p>
        </w:tc>
        <w:tc>
          <w:tcPr>
            <w:tcW w:type="dxa" w:w="2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Relaciones</w:t>
            </w:r>
          </w:p>
        </w:tc>
        <w:tc>
          <w:tcPr>
            <w:tcW w:type="dxa" w:w="32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Descripción</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users</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id, email, password_hash, role_id, area_id, is_active, mfa_secret, last_login</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roles (N:1), areas (N:1)</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Usuarios del sistema con credenciales, rol y área asignada.</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roles</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id, name, permissions (JSONB)</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users (1:N)</w:t>
            </w:r>
          </w:p>
        </w:tc>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Roles del sistema con permisos granulares en formato JSON (módulo→acción).</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workflows</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id, name, area_id, status, definition (JSONB), created_by</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areas (N:1), tasks (1:N)</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Flujos de trabajo con su definición estructural en formato JSON.</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tasks</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id, workflow_id, title, assignee_id, status, sla_hours, started_at, completed_at</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workflows (N:1), users (N:1)</w:t>
            </w:r>
          </w:p>
        </w:tc>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Tareas individuales dentro de un flujo con seguimiento de tiempos y SLA.</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kpi_snapshots</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id, kpi_id, value, recorded_at, area_id</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kpi_definitions (N:1)</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Serie temporal de valores de KPIs para analítica histórica y predicciones.</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audit_logs</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id, user_id, action, entity_type, entity_id, ip_address, timestamp, details (JSONB)</w:t>
            </w:r>
          </w:p>
        </w:tc>
        <w:tc>
          <w:tcPr>
            <w:tcW w:type="dxa" w:w="2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users (N:1)</w:t>
            </w:r>
          </w:p>
        </w:tc>
        <w:tc>
          <w:tcPr>
            <w:tcW w:type="dxa" w:w="3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Log inmutable de todas las acciones realizadas en el sistema.</w:t>
            </w:r>
          </w:p>
        </w:tc>
      </w:tr>
      <w:tr>
        <w:tc>
          <w:tcPr>
            <w:tcW w:type="dxa" w:w="1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ml_predictions</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id, model_name, input_hash, prediction, confidence, generated_at, feedback</w:t>
            </w:r>
          </w:p>
        </w:tc>
        <w:tc>
          <w:tcPr>
            <w:tcW w:type="dxa" w:w="2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w:t>
            </w:r>
          </w:p>
        </w:tc>
        <w:tc>
          <w:tcPr>
            <w:tcW w:type="dxa" w:w="32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Caché de predicciones ML con feedback del usuario para reentrenamiento.</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8. SEGURIDAD ARQUITECTÓNICA</w:t>
      </w:r>
    </w:p>
    <w:p>
      <w:pPr>
        <w:pStyle w:val="Heading2"/>
        <w:spacing w:after="120" w:before="240"/>
      </w:pPr>
      <w:r>
        <w:rPr>
          <w:rFonts w:ascii="Arial" w:cs="Arial" w:eastAsia="Arial" w:hAnsi="Arial"/>
          <w:b/>
          <w:bCs/>
          <w:color w:val="2E5C99"/>
          <w:sz w:val="24"/>
          <w:szCs w:val="24"/>
        </w:rPr>
        <w:t xml:space="preserve">8.1 Modelo de Seguridad por Capas (Defense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Capa</w:t>
            </w:r>
          </w:p>
        </w:tc>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Mecanismo</w:t>
            </w:r>
          </w:p>
        </w:tc>
        <w:tc>
          <w:tcPr>
            <w:tcW w:type="dxa" w:w="6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Implementación Técnica</w:t>
            </w:r>
          </w:p>
        </w:tc>
      </w:tr>
      <w:tr>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Perímetro</w:t>
            </w:r>
          </w:p>
        </w:tc>
        <w:tc>
          <w:tcPr>
            <w:tcW w:type="dxa" w:w="61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AWS WAF con reglas OWASP Core Rule Set. Rate limiting 1000 req/min. DDoS protection con AWS Shield Standard.</w:t>
            </w:r>
          </w:p>
        </w:tc>
      </w:tr>
      <w:tr>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Red</w:t>
            </w:r>
          </w:p>
        </w:tc>
        <w:tc>
          <w:tcPr>
            <w:tcW w:type="dxa" w:w="6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VPC con subredes privadas para bases de datos. Security Groups restrictivos (mínimo privilegio). NACLs configuradas.</w:t>
            </w:r>
          </w:p>
        </w:tc>
      </w:tr>
      <w:tr>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Aplicación</w:t>
            </w:r>
          </w:p>
        </w:tc>
        <w:tc>
          <w:tcPr>
            <w:tcW w:type="dxa" w:w="61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JWT RS256 con expiración 8h. MFA obligatorio para todos los usuarios. RBAC granular. Validación de inputs con Pydantic.</w:t>
            </w:r>
          </w:p>
        </w:tc>
      </w:tr>
      <w:tr>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Datos</w:t>
            </w:r>
          </w:p>
        </w:tc>
        <w:tc>
          <w:tcPr>
            <w:tcW w:type="dxa" w:w="6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Cifrado TLS 1.3 en tránsito. AES-256 en reposo (RDS, S3, ElastiCache). Hashing bcrypt (cost=12) para contraseñas.</w:t>
            </w:r>
          </w:p>
        </w:tc>
      </w:tr>
      <w:tr>
        <w:tc>
          <w:tcPr>
            <w:tcW w:type="dxa" w:w="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5</w:t>
            </w:r>
          </w:p>
        </w:tc>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Identidad</w:t>
            </w:r>
          </w:p>
        </w:tc>
        <w:tc>
          <w:tcPr>
            <w:tcW w:type="dxa" w:w="61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Rotación automática de secretos con AWS Secrets Manager. Políticas IAM de mínimo privilegio para roles de servicio.</w:t>
            </w:r>
          </w:p>
        </w:tc>
      </w:tr>
      <w:tr>
        <w:tc>
          <w:tcPr>
            <w:tcW w:type="dxa" w:w="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6</w:t>
            </w:r>
          </w:p>
        </w:tc>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Monitoreo</w:t>
            </w:r>
          </w:p>
        </w:tc>
        <w:tc>
          <w:tcPr>
            <w:tcW w:type="dxa" w:w="6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CloudWatch Alarms para patrones anómalos. Sentry para errores de aplicación. Logs centralizados retenidos 12 meses.</w:t>
            </w:r>
          </w:p>
        </w:tc>
      </w:tr>
    </w:tbl>
    <w:p>
      <w:pPr>
        <w:spacing w:after="60" w:before="0"/>
      </w:pPr>
      <w:r>
        <w:t xml:space="preserve"/>
      </w:r>
    </w:p>
    <w:p>
      <w:pPr>
        <w:spacing w:after="60" w:before="0"/>
      </w:pPr>
      <w:r>
        <w:t xml:space="preserve"/>
      </w:r>
    </w:p>
    <w:p>
      <w:pPr>
        <w:spacing w:before="200"/>
        <w:jc w:val="center"/>
      </w:pPr>
      <w:r>
        <w:rPr>
          <w:rFonts w:ascii="Arial" w:cs="Arial" w:eastAsia="Arial" w:hAnsi="Arial"/>
          <w:i/>
          <w:iCs/>
          <w:color w:val="555555"/>
          <w:sz w:val="20"/>
          <w:szCs w:val="20"/>
        </w:rPr>
        <w:t xml:space="preserve">— Fin del Documento SAD-DEV-001 —</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99" w:sz="4" w:space="2"/>
      </w:pBdr>
      <w:tabs>
        <w:tab w:val="right" w:pos="9026"/>
      </w:tabs>
      <w:spacing w:before="80"/>
    </w:pPr>
    <w:r>
      <w:rPr>
        <w:rFonts w:ascii="Arial" w:cs="Arial" w:eastAsia="Arial" w:hAnsi="Arial"/>
        <w:color w:val="555555"/>
        <w:sz w:val="18"/>
        <w:szCs w:val="18"/>
      </w:rPr>
      <w:t xml:space="preserve">SistemaIA Pro – NEXUS AI SOLUTIONS S.A.S.  |  Fase de Desarrollo  |  2025</w:t>
    </w:r>
    <w:r>
      <w:rPr>
        <w:rFonts w:ascii="Arial" w:cs="Arial" w:eastAsia="Arial" w:hAnsi="Arial"/>
        <w:b/>
        <w:bCs/>
        <w:color w:val="1B2A4A"/>
        <w:sz w:val="18"/>
        <w:szCs w:val="18"/>
      </w:rPr>
      <w:t xml:space="preserve">	Doc. 1 de 4 – Fase Desarrollo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99" w:sz="4" w:space="2"/>
      </w:pBdr>
      <w:tabs>
        <w:tab w:val="right" w:pos="9026"/>
      </w:tabs>
      <w:spacing w:after="80"/>
    </w:pPr>
    <w:r>
      <w:rPr>
        <w:rFonts w:ascii="Arial" w:cs="Arial" w:eastAsia="Arial" w:hAnsi="Arial"/>
        <w:b/>
        <w:bCs/>
        <w:color w:val="1B2A4A"/>
        <w:sz w:val="18"/>
        <w:szCs w:val="18"/>
      </w:rPr>
      <w:t xml:space="preserve">INNOVATEC COLOMBIA S.A.S.  |  Arquitectura de Software</w:t>
    </w:r>
    <w:r>
      <w:rPr>
        <w:rFonts w:ascii="Arial" w:cs="Arial" w:eastAsia="Arial" w:hAnsi="Arial"/>
        <w:color w:val="2E5C99"/>
        <w:sz w:val="18"/>
        <w:szCs w:val="18"/>
      </w:rPr>
      <w:t xml:space="preserve">	SAD-DEV-001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2026-06-03T21:25:06.316Z</dcterms:created>
  <dcterms:modified xsi:type="dcterms:W3CDTF">2026-06-03T21:25:06.317Z</dcterms:modified>
</cp:coreProperties>
</file>

<file path=docProps/custom.xml><?xml version="1.0" encoding="utf-8"?>
<Properties xmlns="http://schemas.openxmlformats.org/officeDocument/2006/custom-properties" xmlns:vt="http://schemas.openxmlformats.org/officeDocument/2006/docPropsVTypes"/>
</file>