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6E" w:val="clear"/>
            <w:tcMar>
              <w:top w:type="dxa" w:w="440"/>
              <w:left w:type="dxa" w:w="500"/>
              <w:bottom w:type="dxa" w:w="440"/>
              <w:right w:type="dxa" w:w="500"/>
            </w:tcMar>
          </w:tcPr>
          <w:p>
            <w:pPr>
              <w:jc w:val="center"/>
            </w:pPr>
            <w:r>
              <w:rPr>
                <w:rFonts w:ascii="Arial" w:cs="Arial" w:eastAsia="Arial" w:hAnsi="Arial"/>
                <w:b/>
                <w:bCs/>
                <w:color w:val="FFFFFF"/>
                <w:sz w:val="38"/>
                <w:szCs w:val="38"/>
              </w:rPr>
              <w:t xml:space="preserve">ESTÁNDARES Y CONVENCIONES DE CODIFICACIÓN</w:t>
            </w:r>
          </w:p>
          <w:p>
            <w:pPr>
              <w:spacing w:before="100"/>
              <w:jc w:val="center"/>
            </w:pPr>
            <w:r>
              <w:rPr>
                <w:rFonts w:ascii="Arial" w:cs="Arial" w:eastAsia="Arial" w:hAnsi="Arial"/>
                <w:i/>
                <w:iCs/>
                <w:color w:val="A8C4E5"/>
                <w:sz w:val="22"/>
                <w:szCs w:val="22"/>
              </w:rPr>
              <w:t xml:space="preserve">SistemaIA Pro – NEXUS AI SOLUTIONS S.A.S.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1"/>
              <w:left w:val="single" w:color="D0D7E3" w:sz="1"/>
              <w:bottom w:val="single" w:color="D0D7E3" w:sz="1"/>
              <w:right w:val="single" w:color="D0D7E3"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Código</w:t>
            </w:r>
          </w:p>
        </w:tc>
        <w:tc>
          <w:tcPr>
            <w:tcW w:type="dxa" w:w="656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0"/>
                <w:szCs w:val="20"/>
              </w:rPr>
              <w:t xml:space="preserve">ECC-DEV-002</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Versión</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1.0</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Fecha</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22 de julio de 2025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Elaborado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Luis H. Bermúdez – Arquitecto | Carlos M. Pedroza – Dev Senior Backend</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Revisado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Felipe A. Gómez – Dev Senior Frontend | Roberto Suárez – QA Lead</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Aplicabilidad</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Todo el equipo de desarrollo de NEXUS AI SOLUTIONS S.A.S.</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Estado</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Vigente – de obligatorio cumplimiento</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1. PROPÓSITO Y ALCANCE</w:t>
      </w:r>
    </w:p>
    <w:p>
      <w:pPr>
        <w:spacing w:after="100" w:before="60" w:line="280"/>
        <w:jc w:val="both"/>
      </w:pPr>
      <w:r>
        <w:rPr>
          <w:rFonts w:ascii="Arial" w:cs="Arial" w:eastAsia="Arial" w:hAnsi="Arial"/>
          <w:color w:val="1A1A1A"/>
          <w:sz w:val="22"/>
          <w:szCs w:val="22"/>
        </w:rPr>
        <w:t xml:space="preserve">El presente documento establece los estándares, convenciones y mejores prácticas de codificación que todo el equipo de desarrollo de NEXUS AI SOLUTIONS S.A.S. debe seguir durante la construcción del sistema SistemaIA Pro. El cumplimiento de estos estándares es obligatorio y será verificado en cada Pull Request mediante revisión de código y herramientas automáticas (SonarQube, ESLint, Pylint). Su objetivo es garantizar un código legible, mantenible, seguro y consistente en toda la base de código del proyecto.</w:t>
      </w:r>
    </w:p>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2. ESTÁNDARES GENERALES (TODOS LOS LENGUAJES)</w:t>
      </w:r>
    </w:p>
    <w:p>
      <w:pPr>
        <w:pStyle w:val="Heading2"/>
        <w:spacing w:after="120" w:before="240"/>
      </w:pPr>
      <w:r>
        <w:rPr>
          <w:rFonts w:ascii="Arial" w:cs="Arial" w:eastAsia="Arial" w:hAnsi="Arial"/>
          <w:b/>
          <w:bCs/>
          <w:color w:val="2E5C99"/>
          <w:sz w:val="24"/>
          <w:szCs w:val="24"/>
        </w:rPr>
        <w:t xml:space="preserve">2.1 Principios Fundamentales de Codificación</w:t>
      </w:r>
    </w:p>
    <w:p>
      <w:pPr>
        <w:pStyle w:val="ListParagraph"/>
        <w:numPr>
          <w:ilvl w:val="0"/>
          <w:numId w:val="2"/>
        </w:numPr>
        <w:spacing w:after="80" w:before="40" w:line="260"/>
      </w:pPr>
      <w:r>
        <w:rPr>
          <w:rFonts w:ascii="Arial" w:cs="Arial" w:eastAsia="Arial" w:hAnsi="Arial"/>
          <w:color w:val="1A1A1A"/>
          <w:sz w:val="22"/>
          <w:szCs w:val="22"/>
        </w:rPr>
        <w:t xml:space="preserve">SOLID: Single Responsibility, Open/Closed, Liskov Substitution, Interface Segregation, Dependency Inversion. Todos los módulos deben cumplir estos principios.</w:t>
      </w:r>
    </w:p>
    <w:p>
      <w:pPr>
        <w:pStyle w:val="ListParagraph"/>
        <w:numPr>
          <w:ilvl w:val="0"/>
          <w:numId w:val="2"/>
        </w:numPr>
        <w:spacing w:after="80" w:before="40" w:line="260"/>
      </w:pPr>
      <w:r>
        <w:rPr>
          <w:rFonts w:ascii="Arial" w:cs="Arial" w:eastAsia="Arial" w:hAnsi="Arial"/>
          <w:color w:val="1A1A1A"/>
          <w:sz w:val="22"/>
          <w:szCs w:val="22"/>
        </w:rPr>
        <w:t xml:space="preserve">DRY (Don't Repeat Yourself): no duplicar lógica de negocio. Si se repite 3 veces, se abstrae en una función reutilizable.</w:t>
      </w:r>
    </w:p>
    <w:p>
      <w:pPr>
        <w:pStyle w:val="ListParagraph"/>
        <w:numPr>
          <w:ilvl w:val="0"/>
          <w:numId w:val="2"/>
        </w:numPr>
        <w:spacing w:after="80" w:before="40" w:line="260"/>
      </w:pPr>
      <w:r>
        <w:rPr>
          <w:rFonts w:ascii="Arial" w:cs="Arial" w:eastAsia="Arial" w:hAnsi="Arial"/>
          <w:color w:val="1A1A1A"/>
          <w:sz w:val="22"/>
          <w:szCs w:val="22"/>
        </w:rPr>
        <w:t xml:space="preserve">KISS (Keep It Simple, Stupid): la solución más simple que funcione correctamente. Complejidad solo cuando sea justificada.</w:t>
      </w:r>
    </w:p>
    <w:p>
      <w:pPr>
        <w:pStyle w:val="ListParagraph"/>
        <w:numPr>
          <w:ilvl w:val="0"/>
          <w:numId w:val="2"/>
        </w:numPr>
        <w:spacing w:after="80" w:before="40" w:line="260"/>
      </w:pPr>
      <w:r>
        <w:rPr>
          <w:rFonts w:ascii="Arial" w:cs="Arial" w:eastAsia="Arial" w:hAnsi="Arial"/>
          <w:color w:val="1A1A1A"/>
          <w:sz w:val="22"/>
          <w:szCs w:val="22"/>
        </w:rPr>
        <w:t xml:space="preserve">YAGNI (You Aren't Gonna Need It): no implementar funcionalidad anticipada sin requerimiento explícito aprobado.</w:t>
      </w:r>
    </w:p>
    <w:p>
      <w:pPr>
        <w:pStyle w:val="ListParagraph"/>
        <w:numPr>
          <w:ilvl w:val="0"/>
          <w:numId w:val="2"/>
        </w:numPr>
        <w:spacing w:after="80" w:before="40" w:line="260"/>
      </w:pPr>
      <w:r>
        <w:rPr>
          <w:rFonts w:ascii="Arial" w:cs="Arial" w:eastAsia="Arial" w:hAnsi="Arial"/>
          <w:color w:val="1A1A1A"/>
          <w:sz w:val="22"/>
          <w:szCs w:val="22"/>
        </w:rPr>
        <w:t xml:space="preserve">Fail Fast: validar entradas al inicio de cada función. Lanzar excepciones claras y descriptivas ante condiciones inválidas.</w:t>
      </w:r>
    </w:p>
    <w:p>
      <w:pPr>
        <w:pStyle w:val="Heading2"/>
        <w:spacing w:after="120" w:before="240"/>
      </w:pPr>
      <w:r>
        <w:rPr>
          <w:rFonts w:ascii="Arial" w:cs="Arial" w:eastAsia="Arial" w:hAnsi="Arial"/>
          <w:b/>
          <w:bCs/>
          <w:color w:val="2E5C99"/>
          <w:sz w:val="24"/>
          <w:szCs w:val="24"/>
        </w:rPr>
        <w:t xml:space="preserve">2.2 Gestión de Ramas (Git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Rama</w:t>
            </w:r>
          </w:p>
        </w:tc>
        <w:tc>
          <w:tcPr>
            <w:tcW w:type="dxa" w:w="35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Propósito</w:t>
            </w:r>
          </w:p>
        </w:tc>
        <w:tc>
          <w:tcPr>
            <w:tcW w:type="dxa" w:w="3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Reglas</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main</w:t>
            </w:r>
          </w:p>
        </w:tc>
        <w:tc>
          <w:tcPr>
            <w:tcW w:type="dxa" w:w="3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Código en producción. Siempre estable.</w:t>
            </w:r>
          </w:p>
        </w:tc>
        <w:tc>
          <w:tcPr>
            <w:tcW w:type="dxa" w:w="3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Solo merge desde release o hotfix. Requiere aprobación del Arquitecto y del QA Lead.</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develop</w:t>
            </w:r>
          </w:p>
        </w:tc>
        <w:tc>
          <w:tcPr>
            <w:tcW w:type="dxa" w:w="3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Rama de integración. Base de feature branches.</w:t>
            </w:r>
          </w:p>
        </w:tc>
        <w:tc>
          <w:tcPr>
            <w:tcW w:type="dxa" w:w="3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Merge automático desde feature tras PR aprobado. Debe pasar CI/CD completo.</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feature/RF-XXX-descripcion</w:t>
            </w:r>
          </w:p>
        </w:tc>
        <w:tc>
          <w:tcPr>
            <w:tcW w:type="dxa" w:w="3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Desarrollo de una funcionalidad específica.</w:t>
            </w:r>
          </w:p>
        </w:tc>
        <w:tc>
          <w:tcPr>
            <w:tcW w:type="dxa" w:w="3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 crea desde develop. Nombre con ID del requerimiento. Máx. 5 días de vida.</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fix/BUG-XXX-descripcion</w:t>
            </w:r>
          </w:p>
        </w:tc>
        <w:tc>
          <w:tcPr>
            <w:tcW w:type="dxa" w:w="3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Corrección de defecto identificado en QA.</w:t>
            </w:r>
          </w:p>
        </w:tc>
        <w:tc>
          <w:tcPr>
            <w:tcW w:type="dxa" w:w="3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 crea desde develop (o main si es hotfix crítico). PR obligatorio antes de merge.</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release/vX.Y.Z</w:t>
            </w:r>
          </w:p>
        </w:tc>
        <w:tc>
          <w:tcPr>
            <w:tcW w:type="dxa" w:w="3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Preparación de versión para despliegue.</w:t>
            </w:r>
          </w:p>
        </w:tc>
        <w:tc>
          <w:tcPr>
            <w:tcW w:type="dxa" w:w="3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Solo correcciones menores. No nuevas funcionalidades. Se mergea a main y develop.</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hotfix/descripcion</w:t>
            </w:r>
          </w:p>
        </w:tc>
        <w:tc>
          <w:tcPr>
            <w:tcW w:type="dxa" w:w="3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Corrección urgente en producción.</w:t>
            </w:r>
          </w:p>
        </w:tc>
        <w:tc>
          <w:tcPr>
            <w:tcW w:type="dxa" w:w="3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 crea desde main. Se mergea a main y develop inmediatamente tras aprobación.</w:t>
            </w:r>
          </w:p>
        </w:tc>
      </w:tr>
    </w:tbl>
    <w:p>
      <w:pPr>
        <w:pStyle w:val="Heading2"/>
        <w:spacing w:after="120" w:before="240"/>
      </w:pPr>
      <w:r>
        <w:rPr>
          <w:rFonts w:ascii="Arial" w:cs="Arial" w:eastAsia="Arial" w:hAnsi="Arial"/>
          <w:b/>
          <w:bCs/>
          <w:color w:val="2E5C99"/>
          <w:sz w:val="24"/>
          <w:szCs w:val="24"/>
        </w:rPr>
        <w:t xml:space="preserve">2.3 Convención de Commits (Conventional Commits)</w:t>
      </w:r>
    </w:p>
    <w:p>
      <w:pPr>
        <w:spacing w:after="100" w:before="60" w:line="280"/>
        <w:jc w:val="both"/>
      </w:pPr>
      <w:r>
        <w:rPr>
          <w:rFonts w:ascii="Arial" w:cs="Arial" w:eastAsia="Arial" w:hAnsi="Arial"/>
          <w:color w:val="1A1A1A"/>
          <w:sz w:val="22"/>
          <w:szCs w:val="22"/>
        </w:rPr>
        <w:t xml:space="preserve">Todos los commits deben seguir el estándar Conventional Commits 1.0.0. El mensaje de commit tiene el formato:</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&lt;tipo&gt;(&lt;alcance&gt;): &lt;descripción corta en imperativo, máx. 72 caracteres&gt;</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[cuerpo opcional: explicación del por qué, no del qué]</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[pie opcional: referencias a issues, breaking changes]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Tipo</w:t>
            </w:r>
          </w:p>
        </w:tc>
        <w:tc>
          <w:tcPr>
            <w:tcW w:type="dxa" w:w="3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Cuándo Usar</w:t>
            </w:r>
          </w:p>
        </w:tc>
        <w:tc>
          <w:tcPr>
            <w:tcW w:type="dxa" w:w="4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Ejemplo</w:t>
            </w:r>
          </w:p>
        </w:tc>
      </w:tr>
      <w:tr>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feat</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Nueva funcionalidad que agrega valor al usuario.</w:t>
            </w:r>
          </w:p>
        </w:tc>
        <w:tc>
          <w:tcPr>
            <w:tcW w:type="dxa" w:w="4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feat(auth): implementar autenticación MFA con TOTP – RF-001</w:t>
            </w:r>
          </w:p>
        </w:tc>
      </w:tr>
      <w:tr>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fix</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Corrección de un defecto reportado o encontrado.</w:t>
            </w:r>
          </w:p>
        </w:tc>
        <w:tc>
          <w:tcPr>
            <w:tcW w:type="dxa" w:w="4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fix(nlp): corregir precisión clasificación docs escaneados – BUG-032</w:t>
            </w:r>
          </w:p>
        </w:tc>
      </w:tr>
      <w:tr>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docs</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Cambios solo en documentación o comentarios.</w:t>
            </w:r>
          </w:p>
        </w:tc>
        <w:tc>
          <w:tcPr>
            <w:tcW w:type="dxa" w:w="4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docs(api): agregar docstrings a endpoints del workflow service</w:t>
            </w:r>
          </w:p>
        </w:tc>
      </w:tr>
      <w:tr>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refactor</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Refactorización sin cambio de comportamiento externo.</w:t>
            </w:r>
          </w:p>
        </w:tc>
        <w:tc>
          <w:tcPr>
            <w:tcW w:type="dxa" w:w="4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refactor(ml): extraer lógica de feature engineering a clase independiente</w:t>
            </w:r>
          </w:p>
        </w:tc>
      </w:tr>
      <w:tr>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test</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Agregar o modificar pruebas automatizadas.</w:t>
            </w:r>
          </w:p>
        </w:tc>
        <w:tc>
          <w:tcPr>
            <w:tcW w:type="dxa" w:w="4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test(auth): agregar casos de prueba para bloqueo de cuenta – CP-002</w:t>
            </w:r>
          </w:p>
        </w:tc>
      </w:tr>
      <w:tr>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chore</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Tareas de mantenimiento: deps, configs, scripts CI.</w:t>
            </w:r>
          </w:p>
        </w:tc>
        <w:tc>
          <w:tcPr>
            <w:tcW w:type="dxa" w:w="4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chore(deps): actualizar TensorFlow a 2.14.1 por vulnerabilidad CVE-2025-XXXX</w:t>
            </w:r>
          </w:p>
        </w:tc>
      </w:tr>
      <w:tr>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perf</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Mejoras de rendimiento medibles.</w:t>
            </w:r>
          </w:p>
        </w:tc>
        <w:tc>
          <w:tcPr>
            <w:tcW w:type="dxa" w:w="4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perf(dashboard): implementar lazy loading en widgets de KPIs – RNF-001</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3. ESTÁNDARES PYTHON (BACKEND Y AI/ML)</w:t>
      </w:r>
    </w:p>
    <w:p>
      <w:pPr>
        <w:pStyle w:val="Heading2"/>
        <w:spacing w:after="120" w:before="240"/>
      </w:pPr>
      <w:r>
        <w:rPr>
          <w:rFonts w:ascii="Arial" w:cs="Arial" w:eastAsia="Arial" w:hAnsi="Arial"/>
          <w:b/>
          <w:bCs/>
          <w:color w:val="2E5C99"/>
          <w:sz w:val="24"/>
          <w:szCs w:val="24"/>
        </w:rPr>
        <w:t xml:space="preserve">3.1 Estilo de Código</w:t>
      </w:r>
    </w:p>
    <w:p>
      <w:pPr>
        <w:pStyle w:val="ListParagraph"/>
        <w:numPr>
          <w:ilvl w:val="0"/>
          <w:numId w:val="2"/>
        </w:numPr>
        <w:spacing w:after="80" w:before="40" w:line="260"/>
      </w:pPr>
      <w:r>
        <w:rPr>
          <w:rFonts w:ascii="Arial" w:cs="Arial" w:eastAsia="Arial" w:hAnsi="Arial"/>
          <w:color w:val="1A1A1A"/>
          <w:sz w:val="22"/>
          <w:szCs w:val="22"/>
        </w:rPr>
        <w:t xml:space="preserve">Seguir PEP 8 estrictamente. Líneas máximo 88 caracteres (configurado en Black formatter).</w:t>
      </w:r>
    </w:p>
    <w:p>
      <w:pPr>
        <w:pStyle w:val="ListParagraph"/>
        <w:numPr>
          <w:ilvl w:val="0"/>
          <w:numId w:val="2"/>
        </w:numPr>
        <w:spacing w:after="80" w:before="40" w:line="260"/>
      </w:pPr>
      <w:r>
        <w:rPr>
          <w:rFonts w:ascii="Arial" w:cs="Arial" w:eastAsia="Arial" w:hAnsi="Arial"/>
          <w:color w:val="1A1A1A"/>
          <w:sz w:val="22"/>
          <w:szCs w:val="22"/>
        </w:rPr>
        <w:t xml:space="preserve">Usar Black para formateo automático y isort para ordenar imports. Ambos ejecutados en pre-commit hook.</w:t>
      </w:r>
    </w:p>
    <w:p>
      <w:pPr>
        <w:pStyle w:val="ListParagraph"/>
        <w:numPr>
          <w:ilvl w:val="0"/>
          <w:numId w:val="2"/>
        </w:numPr>
        <w:spacing w:after="80" w:before="40" w:line="260"/>
      </w:pPr>
      <w:r>
        <w:rPr>
          <w:rFonts w:ascii="Arial" w:cs="Arial" w:eastAsia="Arial" w:hAnsi="Arial"/>
          <w:color w:val="1A1A1A"/>
          <w:sz w:val="22"/>
          <w:szCs w:val="22"/>
        </w:rPr>
        <w:t xml:space="preserve">Type hints obligatorios en todas las funciones y métodos (PEP 484). Verificado con mypy en CI/CD.</w:t>
      </w:r>
    </w:p>
    <w:p>
      <w:pPr>
        <w:pStyle w:val="ListParagraph"/>
        <w:numPr>
          <w:ilvl w:val="0"/>
          <w:numId w:val="2"/>
        </w:numPr>
        <w:spacing w:after="80" w:before="40" w:line="260"/>
      </w:pPr>
      <w:r>
        <w:rPr>
          <w:rFonts w:ascii="Arial" w:cs="Arial" w:eastAsia="Arial" w:hAnsi="Arial"/>
          <w:color w:val="1A1A1A"/>
          <w:sz w:val="22"/>
          <w:szCs w:val="22"/>
        </w:rPr>
        <w:t xml:space="preserve">Docstrings en formato Google Style para todas las clases públicas y funciones con lógica no trivial.</w:t>
      </w:r>
    </w:p>
    <w:p>
      <w:pPr>
        <w:pStyle w:val="Heading2"/>
        <w:spacing w:after="120" w:before="240"/>
      </w:pPr>
      <w:r>
        <w:rPr>
          <w:rFonts w:ascii="Arial" w:cs="Arial" w:eastAsia="Arial" w:hAnsi="Arial"/>
          <w:b/>
          <w:bCs/>
          <w:color w:val="2E5C99"/>
          <w:sz w:val="24"/>
          <w:szCs w:val="24"/>
        </w:rPr>
        <w:t xml:space="preserve">3.2 Nomenclatura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46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Elemento</w:t>
            </w:r>
          </w:p>
        </w:tc>
        <w:tc>
          <w:tcPr>
            <w:tcW w:type="dxa" w:w="2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Convención</w:t>
            </w:r>
          </w:p>
        </w:tc>
        <w:tc>
          <w:tcPr>
            <w:tcW w:type="dxa" w:w="4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Ejemplo</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Módulos / Archivos</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snake_case</w:t>
            </w:r>
          </w:p>
        </w:tc>
        <w:tc>
          <w:tcPr>
            <w:tcW w:type="dxa" w:w="4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workflow_engine.py, ml_predictor.py</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Clases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PascalCase</w:t>
            </w:r>
          </w:p>
        </w:tc>
        <w:tc>
          <w:tcPr>
            <w:tcW w:type="dxa" w:w="4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WorkflowService, MLPredictionModel, NLPClassifier</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Funciones / Métodos</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snake_case</w:t>
            </w:r>
          </w:p>
        </w:tc>
        <w:tc>
          <w:tcPr>
            <w:tcW w:type="dxa" w:w="4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get_active_workflows(), classify_document()</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Variables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snake_case</w:t>
            </w:r>
          </w:p>
        </w:tc>
        <w:tc>
          <w:tcPr>
            <w:tcW w:type="dxa" w:w="4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user_id, prediction_result, active_tasks</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Constantes</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UPPER_SNAKE_CASE</w:t>
            </w:r>
          </w:p>
        </w:tc>
        <w:tc>
          <w:tcPr>
            <w:tcW w:type="dxa" w:w="4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MAX_LOGIN_ATTEMPTS = 5, DEFAULT_SLA_HOURS = 24</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Parámetros privados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_snake_case (prefijo _)</w:t>
            </w:r>
          </w:p>
        </w:tc>
        <w:tc>
          <w:tcPr>
            <w:tcW w:type="dxa" w:w="4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_validate_token(), _db_session</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Endpoints FastAPI</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snake_case en path, PascalCase en Schema</w:t>
            </w:r>
          </w:p>
        </w:tc>
        <w:tc>
          <w:tcPr>
            <w:tcW w:type="dxa" w:w="4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POST /workflow/create_flow, class WorkflowCreateRequest(BaseModel)</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Tests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test_ prefijo</w:t>
            </w:r>
          </w:p>
        </w:tc>
        <w:tc>
          <w:tcPr>
            <w:tcW w:type="dxa" w:w="4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test_login_with_valid_mfa(), test_workflow_activation()</w:t>
            </w:r>
          </w:p>
        </w:tc>
      </w:tr>
    </w:tbl>
    <w:p>
      <w:pPr>
        <w:pStyle w:val="Heading2"/>
        <w:spacing w:after="120" w:before="240"/>
      </w:pPr>
      <w:r>
        <w:rPr>
          <w:rFonts w:ascii="Arial" w:cs="Arial" w:eastAsia="Arial" w:hAnsi="Arial"/>
          <w:b/>
          <w:bCs/>
          <w:color w:val="2E5C99"/>
          <w:sz w:val="24"/>
          <w:szCs w:val="24"/>
        </w:rPr>
        <w:t xml:space="preserve">3.3 Ejemplo de Estructura de Endpoint FastAPI</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from fastapi import APIRouter, Depends, HTTPException, status</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from app.schemas.workflow import WorkflowCreateRequest, WorkflowResponse</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from app.services.workflow_service import WorkflowService</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from app.core.security import get_current_user, require_permission</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router = APIRouter(prefix='/workflows', tags=['Workflows'])</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@router.post('/create', response_model=WorkflowResponse, status_code=status.HTTP_201_CREATED)</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async def create_workflow(</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request: WorkflowCreateRequest,</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current_user: User = Depends(get_current_user),</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_: bool = Depends(require_permission('workflows:create')),</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service: WorkflowService = Depends(get_workflow_service)</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-&gt; WorkflowResponse:</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"""Crea y registra un nuevo flujo de trabajo para el área del usuario."""</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try:</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workflow = await service.create(request, created_by=current_user.id)</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return WorkflowResponse.from_orm(workflow)</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except WorkflowValidationError as e:</w:t>
      </w:r>
    </w:p>
    <w:p>
      <w:pPr>
        <w:pBdr>
          <w:top w:val="single" w:color="D0D7E3" w:sz="1"/>
          <w:bottom w:val="single" w:color="D0D7E3" w:sz="1"/>
        </w:pBdr>
        <w:shd w:fill="F0F4F8" w:val="clear"/>
        <w:spacing w:after="40" w:before="40"/>
      </w:pPr>
      <w:r>
        <w:rPr>
          <w:rFonts w:ascii="Courier New" w:cs="Courier New" w:eastAsia="Courier New" w:hAnsi="Courier New"/>
          <w:color w:val="1E3A5F"/>
          <w:sz w:val="20"/>
          <w:szCs w:val="20"/>
        </w:rPr>
        <w:t xml:space="preserve">        raise HTTPException(status_code=400, detail=str(e))</w:t>
      </w:r>
    </w:p>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4. ESTÁNDARES TYPESCRIPT / REACT (FRONTEND)</w:t>
      </w:r>
    </w:p>
    <w:p>
      <w:pPr>
        <w:pStyle w:val="Heading2"/>
        <w:spacing w:after="120" w:before="240"/>
      </w:pPr>
      <w:r>
        <w:rPr>
          <w:rFonts w:ascii="Arial" w:cs="Arial" w:eastAsia="Arial" w:hAnsi="Arial"/>
          <w:b/>
          <w:bCs/>
          <w:color w:val="2E5C99"/>
          <w:sz w:val="24"/>
          <w:szCs w:val="24"/>
        </w:rPr>
        <w:t xml:space="preserve">4.1 Estilo de Código</w:t>
      </w:r>
    </w:p>
    <w:p>
      <w:pPr>
        <w:pStyle w:val="ListParagraph"/>
        <w:numPr>
          <w:ilvl w:val="0"/>
          <w:numId w:val="2"/>
        </w:numPr>
        <w:spacing w:after="80" w:before="40" w:line="260"/>
      </w:pPr>
      <w:r>
        <w:rPr>
          <w:rFonts w:ascii="Arial" w:cs="Arial" w:eastAsia="Arial" w:hAnsi="Arial"/>
          <w:color w:val="1A1A1A"/>
          <w:sz w:val="22"/>
          <w:szCs w:val="22"/>
        </w:rPr>
        <w:t xml:space="preserve">Usar ESLint con configuración Airbnb + TypeScript. Prettier para formateo. Ambos en pre-commit hook.</w:t>
      </w:r>
    </w:p>
    <w:p>
      <w:pPr>
        <w:pStyle w:val="ListParagraph"/>
        <w:numPr>
          <w:ilvl w:val="0"/>
          <w:numId w:val="2"/>
        </w:numPr>
        <w:spacing w:after="80" w:before="40" w:line="260"/>
      </w:pPr>
      <w:r>
        <w:rPr>
          <w:rFonts w:ascii="Arial" w:cs="Arial" w:eastAsia="Arial" w:hAnsi="Arial"/>
          <w:color w:val="1A1A1A"/>
          <w:sz w:val="22"/>
          <w:szCs w:val="22"/>
        </w:rPr>
        <w:t xml:space="preserve">Strict mode de TypeScript habilitado (strict: true en tsconfig.json). Sin uso de any explícito.</w:t>
      </w:r>
    </w:p>
    <w:p>
      <w:pPr>
        <w:pStyle w:val="ListParagraph"/>
        <w:numPr>
          <w:ilvl w:val="0"/>
          <w:numId w:val="2"/>
        </w:numPr>
        <w:spacing w:after="80" w:before="40" w:line="260"/>
      </w:pPr>
      <w:r>
        <w:rPr>
          <w:rFonts w:ascii="Arial" w:cs="Arial" w:eastAsia="Arial" w:hAnsi="Arial"/>
          <w:color w:val="1A1A1A"/>
          <w:sz w:val="22"/>
          <w:szCs w:val="22"/>
        </w:rPr>
        <w:t xml:space="preserve">Componentes funcionales únicamente. No usar Class Components. Hooks para todo estado y efectos.</w:t>
      </w:r>
    </w:p>
    <w:p>
      <w:pPr>
        <w:pStyle w:val="ListParagraph"/>
        <w:numPr>
          <w:ilvl w:val="0"/>
          <w:numId w:val="2"/>
        </w:numPr>
        <w:spacing w:after="80" w:before="40" w:line="260"/>
      </w:pPr>
      <w:r>
        <w:rPr>
          <w:rFonts w:ascii="Arial" w:cs="Arial" w:eastAsia="Arial" w:hAnsi="Arial"/>
          <w:color w:val="1A1A1A"/>
          <w:sz w:val="22"/>
          <w:szCs w:val="22"/>
        </w:rPr>
        <w:t xml:space="preserve">Usar React Query (TanStack Query) para todas las llamadas a la API. No usar useEffect para fetch de datos.</w:t>
      </w:r>
    </w:p>
    <w:p>
      <w:pPr>
        <w:pStyle w:val="Heading2"/>
        <w:spacing w:after="120" w:before="240"/>
      </w:pPr>
      <w:r>
        <w:rPr>
          <w:rFonts w:ascii="Arial" w:cs="Arial" w:eastAsia="Arial" w:hAnsi="Arial"/>
          <w:b/>
          <w:bCs/>
          <w:color w:val="2E5C99"/>
          <w:sz w:val="24"/>
          <w:szCs w:val="24"/>
        </w:rPr>
        <w:t xml:space="preserve">4.2 Nomenclatura TypeScript/React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46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Elemento</w:t>
            </w:r>
          </w:p>
        </w:tc>
        <w:tc>
          <w:tcPr>
            <w:tcW w:type="dxa" w:w="2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Convención</w:t>
            </w:r>
          </w:p>
        </w:tc>
        <w:tc>
          <w:tcPr>
            <w:tcW w:type="dxa" w:w="4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Ejemplo</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Componentes React</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PascalCase + .tsx</w:t>
            </w:r>
          </w:p>
        </w:tc>
        <w:tc>
          <w:tcPr>
            <w:tcW w:type="dxa" w:w="4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DashboardWidget.tsx, WorkflowEditor.tsx</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Custom Hooks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camelCase con prefijo use</w:t>
            </w:r>
          </w:p>
        </w:tc>
        <w:tc>
          <w:tcPr>
            <w:tcW w:type="dxa" w:w="4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useWorkflows(), useKpiData(), useAuthSession()</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Variables y funciones</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camelCase</w:t>
            </w:r>
          </w:p>
        </w:tc>
        <w:tc>
          <w:tcPr>
            <w:tcW w:type="dxa" w:w="4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activeWorkflows, handleFormSubmit, formatCurrency</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Constantes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UPPER_SNAKE_CASE</w:t>
            </w:r>
          </w:p>
        </w:tc>
        <w:tc>
          <w:tcPr>
            <w:tcW w:type="dxa" w:w="4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API_BASE_URL, MAX_RETRIES, DEFAULT_PAGE_SIZE</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Interfaces / Types</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PascalCase con prefijo I o sufijo Type</w:t>
            </w:r>
          </w:p>
        </w:tc>
        <w:tc>
          <w:tcPr>
            <w:tcW w:type="dxa" w:w="4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IWorkflow, UserRole, KpiDataType</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Archivos de utilidades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camelCase</w:t>
            </w:r>
          </w:p>
        </w:tc>
        <w:tc>
          <w:tcPr>
            <w:tcW w:type="dxa" w:w="4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formatDate.ts, apiClient.ts, validationRules.ts</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Archivos de estilos</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PascalCase.module.css</w:t>
            </w:r>
          </w:p>
        </w:tc>
        <w:tc>
          <w:tcPr>
            <w:tcW w:type="dxa" w:w="4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DashboardWidget.module.css</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Tests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*.test.tsx</w:t>
            </w:r>
          </w:p>
        </w:tc>
        <w:tc>
          <w:tcPr>
            <w:tcW w:type="dxa" w:w="4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DashboardWidget.test.tsx, useWorkflows.test.ts</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5. ESTÁNDARES DE SEGURIDAD EN EL CÓDIGO</w:t>
      </w:r>
    </w:p>
    <w:p>
      <w:pPr>
        <w:pStyle w:val="Heading2"/>
        <w:spacing w:after="120" w:before="240"/>
      </w:pPr>
      <w:r>
        <w:rPr>
          <w:rFonts w:ascii="Arial" w:cs="Arial" w:eastAsia="Arial" w:hAnsi="Arial"/>
          <w:b/>
          <w:bCs/>
          <w:color w:val="2E5C99"/>
          <w:sz w:val="24"/>
          <w:szCs w:val="24"/>
        </w:rPr>
        <w:t xml:space="preserve">5.1 Reglas de Seguridad Obligatorias</w:t>
      </w:r>
    </w:p>
    <w:p>
      <w:pPr>
        <w:pStyle w:val="ListParagraph"/>
        <w:numPr>
          <w:ilvl w:val="0"/>
          <w:numId w:val="2"/>
        </w:numPr>
        <w:spacing w:after="80" w:before="40" w:line="260"/>
      </w:pPr>
      <w:r>
        <w:rPr>
          <w:rFonts w:ascii="Arial" w:cs="Arial" w:eastAsia="Arial" w:hAnsi="Arial"/>
          <w:color w:val="1A1A1A"/>
          <w:sz w:val="22"/>
          <w:szCs w:val="22"/>
        </w:rPr>
        <w:t xml:space="preserve">NUNCA hardcodear secretos, contraseñas, API keys o tokens en el código fuente. Usar AWS Secrets Manager o variables de entorno. El pre-commit hook bloquea commits con patrones de secretos (git-secrets).</w:t>
      </w:r>
    </w:p>
    <w:p>
      <w:pPr>
        <w:pStyle w:val="ListParagraph"/>
        <w:numPr>
          <w:ilvl w:val="0"/>
          <w:numId w:val="2"/>
        </w:numPr>
        <w:spacing w:after="80" w:before="40" w:line="260"/>
      </w:pPr>
      <w:r>
        <w:rPr>
          <w:rFonts w:ascii="Arial" w:cs="Arial" w:eastAsia="Arial" w:hAnsi="Arial"/>
          <w:color w:val="1A1A1A"/>
          <w:sz w:val="22"/>
          <w:szCs w:val="22"/>
        </w:rPr>
        <w:t xml:space="preserve">SIEMPRE validar y sanitizar todos los inputs del usuario antes de procesarlos, en el frontend (Zod schemas) y en el backend (Pydantic models).</w:t>
      </w:r>
    </w:p>
    <w:p>
      <w:pPr>
        <w:pStyle w:val="ListParagraph"/>
        <w:numPr>
          <w:ilvl w:val="0"/>
          <w:numId w:val="2"/>
        </w:numPr>
        <w:spacing w:after="80" w:before="40" w:line="260"/>
      </w:pPr>
      <w:r>
        <w:rPr>
          <w:rFonts w:ascii="Arial" w:cs="Arial" w:eastAsia="Arial" w:hAnsi="Arial"/>
          <w:color w:val="1A1A1A"/>
          <w:sz w:val="22"/>
          <w:szCs w:val="22"/>
        </w:rPr>
        <w:t xml:space="preserve">NUNCA construir queries SQL concatenando strings. Usar SIEMPRE queries parametrizadas con SQLAlchemy ORM o el método de parámetros del driver.</w:t>
      </w:r>
    </w:p>
    <w:p>
      <w:pPr>
        <w:pStyle w:val="ListParagraph"/>
        <w:numPr>
          <w:ilvl w:val="0"/>
          <w:numId w:val="2"/>
        </w:numPr>
        <w:spacing w:after="80" w:before="40" w:line="260"/>
      </w:pPr>
      <w:r>
        <w:rPr>
          <w:rFonts w:ascii="Arial" w:cs="Arial" w:eastAsia="Arial" w:hAnsi="Arial"/>
          <w:color w:val="1A1A1A"/>
          <w:sz w:val="22"/>
          <w:szCs w:val="22"/>
        </w:rPr>
        <w:t xml:space="preserve">SIEMPRE usar HTTPS para comunicaciones externas. Verificar certificados SSL en todas las llamadas a APIs de terceros.</w:t>
      </w:r>
    </w:p>
    <w:p>
      <w:pPr>
        <w:pStyle w:val="ListParagraph"/>
        <w:numPr>
          <w:ilvl w:val="0"/>
          <w:numId w:val="2"/>
        </w:numPr>
        <w:spacing w:after="80" w:before="40" w:line="260"/>
      </w:pPr>
      <w:r>
        <w:rPr>
          <w:rFonts w:ascii="Arial" w:cs="Arial" w:eastAsia="Arial" w:hAnsi="Arial"/>
          <w:color w:val="1A1A1A"/>
          <w:sz w:val="22"/>
          <w:szCs w:val="22"/>
        </w:rPr>
        <w:t xml:space="preserve">NUNCA exponer stacktraces ni mensajes de error internos al usuario final. Usar mensajes de error genéricos en producción y loggear el detalle internamente.</w:t>
      </w:r>
    </w:p>
    <w:p>
      <w:pPr>
        <w:pStyle w:val="ListParagraph"/>
        <w:numPr>
          <w:ilvl w:val="0"/>
          <w:numId w:val="2"/>
        </w:numPr>
        <w:spacing w:after="80" w:before="40" w:line="260"/>
      </w:pPr>
      <w:r>
        <w:rPr>
          <w:rFonts w:ascii="Arial" w:cs="Arial" w:eastAsia="Arial" w:hAnsi="Arial"/>
          <w:color w:val="1A1A1A"/>
          <w:sz w:val="22"/>
          <w:szCs w:val="22"/>
        </w:rPr>
        <w:t xml:space="preserve">SIEMPRE implementar control de acceso en el backend (no solo en el frontend). Un cambio en el frontend no debe dar acceso a endpoints no autorizados.</w:t>
      </w:r>
    </w:p>
    <w:p>
      <w:pPr>
        <w:pStyle w:val="Heading2"/>
        <w:spacing w:after="120" w:before="240"/>
      </w:pPr>
      <w:r>
        <w:rPr>
          <w:rFonts w:ascii="Arial" w:cs="Arial" w:eastAsia="Arial" w:hAnsi="Arial"/>
          <w:b/>
          <w:bCs/>
          <w:color w:val="2E5C99"/>
          <w:sz w:val="24"/>
          <w:szCs w:val="24"/>
        </w:rPr>
        <w:t xml:space="preserve">5.2 Revisión de Seguridad Automatizada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Herramienta</w:t>
            </w:r>
          </w:p>
        </w:tc>
        <w:tc>
          <w:tcPr>
            <w:tcW w:type="dxa" w:w="3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Qué Analiza</w:t>
            </w:r>
          </w:p>
        </w:tc>
        <w:tc>
          <w:tcPr>
            <w:tcW w:type="dxa" w:w="4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Cuándo se Ejecuta</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SonarQube Community</w:t>
            </w:r>
          </w:p>
        </w:tc>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Code smells, vulnerabilidades, cobertura de pruebas, duplicación.</w:t>
            </w:r>
          </w:p>
        </w:tc>
        <w:tc>
          <w:tcPr>
            <w:tcW w:type="dxa" w:w="4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 cada PR hacia develop. El merge se bloquea si hay issues críticos o cobertura &lt;80%.</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Snyk</w:t>
            </w:r>
          </w:p>
        </w:tc>
        <w:tc>
          <w:tcPr>
            <w:tcW w:type="dxa" w:w="3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Vulnerabilidades en dependencias (pip, npm). CVEs conocidos.</w:t>
            </w:r>
          </w:p>
        </w:tc>
        <w:tc>
          <w:tcPr>
            <w:tcW w:type="dxa" w:w="4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 cada PR. Alerta si hay vulnerabilidades High o Critical en dependencias.</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git-secrets</w:t>
            </w:r>
          </w:p>
        </w:tc>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Detección de secretos, API keys y contraseñas en el código.</w:t>
            </w:r>
          </w:p>
        </w:tc>
        <w:tc>
          <w:tcPr>
            <w:tcW w:type="dxa" w:w="4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Pre-commit hook local + pipeline CI. Bloquea el commit/merge si detecta patrones.</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Bandit (Python)</w:t>
            </w:r>
          </w:p>
        </w:tc>
        <w:tc>
          <w:tcPr>
            <w:tcW w:type="dxa" w:w="3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Análisis estático de seguridad específico de Python.</w:t>
            </w:r>
          </w:p>
        </w:tc>
        <w:tc>
          <w:tcPr>
            <w:tcW w:type="dxa" w:w="4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 pipeline CI junto con las pruebas unitarias. Reporte en cada build.</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ESLint security plugin</w:t>
            </w:r>
          </w:p>
        </w:tc>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Patrones inseguros en JavaScript/TypeScript.</w:t>
            </w:r>
          </w:p>
        </w:tc>
        <w:tc>
          <w:tcPr>
            <w:tcW w:type="dxa" w:w="4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Pre-commit hook local + pipeline CI.</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6. PROCESO DE REVISIÓN DE CÓDIGO (CODE REVIEW)</w:t>
      </w:r>
    </w:p>
    <w:p>
      <w:pPr>
        <w:pStyle w:val="Heading2"/>
        <w:spacing w:after="120" w:before="240"/>
      </w:pPr>
      <w:r>
        <w:rPr>
          <w:rFonts w:ascii="Arial" w:cs="Arial" w:eastAsia="Arial" w:hAnsi="Arial"/>
          <w:b/>
          <w:bCs/>
          <w:color w:val="2E5C99"/>
          <w:sz w:val="24"/>
          <w:szCs w:val="24"/>
        </w:rPr>
        <w:t xml:space="preserve">6.1 Checklist Obligatorio para el Autor del PR</w:t>
      </w:r>
    </w:p>
    <w:p>
      <w:pPr>
        <w:pStyle w:val="ListParagraph"/>
        <w:numPr>
          <w:ilvl w:val="0"/>
          <w:numId w:val="2"/>
        </w:numPr>
        <w:spacing w:after="80" w:before="40" w:line="260"/>
      </w:pPr>
      <w:r>
        <w:rPr>
          <w:rFonts w:ascii="Arial" w:cs="Arial" w:eastAsia="Arial" w:hAnsi="Arial"/>
          <w:color w:val="1A1A1A"/>
          <w:sz w:val="22"/>
          <w:szCs w:val="22"/>
        </w:rPr>
        <w:t xml:space="preserve">El PR tiene un título descriptivo en formato Conventional Commits y referencia el ID del requerimiento (RF-XXX) o bug (BUG-XXX).</w:t>
      </w:r>
    </w:p>
    <w:p>
      <w:pPr>
        <w:pStyle w:val="ListParagraph"/>
        <w:numPr>
          <w:ilvl w:val="0"/>
          <w:numId w:val="2"/>
        </w:numPr>
        <w:spacing w:after="80" w:before="40" w:line="260"/>
      </w:pPr>
      <w:r>
        <w:rPr>
          <w:rFonts w:ascii="Arial" w:cs="Arial" w:eastAsia="Arial" w:hAnsi="Arial"/>
          <w:color w:val="1A1A1A"/>
          <w:sz w:val="22"/>
          <w:szCs w:val="22"/>
        </w:rPr>
        <w:t xml:space="preserve">El código pasa todas las pruebas automatizadas existentes sin errores.</w:t>
      </w:r>
    </w:p>
    <w:p>
      <w:pPr>
        <w:pStyle w:val="ListParagraph"/>
        <w:numPr>
          <w:ilvl w:val="0"/>
          <w:numId w:val="2"/>
        </w:numPr>
        <w:spacing w:after="80" w:before="40" w:line="260"/>
      </w:pPr>
      <w:r>
        <w:rPr>
          <w:rFonts w:ascii="Arial" w:cs="Arial" w:eastAsia="Arial" w:hAnsi="Arial"/>
          <w:color w:val="1A1A1A"/>
          <w:sz w:val="22"/>
          <w:szCs w:val="22"/>
        </w:rPr>
        <w:t xml:space="preserve">Se agregaron pruebas unitarias para la nueva funcionalidad (cobertura &gt;= 80% en los módulos modificados).</w:t>
      </w:r>
    </w:p>
    <w:p>
      <w:pPr>
        <w:pStyle w:val="ListParagraph"/>
        <w:numPr>
          <w:ilvl w:val="0"/>
          <w:numId w:val="2"/>
        </w:numPr>
        <w:spacing w:after="80" w:before="40" w:line="260"/>
      </w:pPr>
      <w:r>
        <w:rPr>
          <w:rFonts w:ascii="Arial" w:cs="Arial" w:eastAsia="Arial" w:hAnsi="Arial"/>
          <w:color w:val="1A1A1A"/>
          <w:sz w:val="22"/>
          <w:szCs w:val="22"/>
        </w:rPr>
        <w:t xml:space="preserve">No hay credenciales, secretos ni datos sensibles en el código ni en los commits.</w:t>
      </w:r>
    </w:p>
    <w:p>
      <w:pPr>
        <w:pStyle w:val="ListParagraph"/>
        <w:numPr>
          <w:ilvl w:val="0"/>
          <w:numId w:val="2"/>
        </w:numPr>
        <w:spacing w:after="80" w:before="40" w:line="260"/>
      </w:pPr>
      <w:r>
        <w:rPr>
          <w:rFonts w:ascii="Arial" w:cs="Arial" w:eastAsia="Arial" w:hAnsi="Arial"/>
          <w:color w:val="1A1A1A"/>
          <w:sz w:val="22"/>
          <w:szCs w:val="22"/>
        </w:rPr>
        <w:t xml:space="preserve">El código sigue los estándares de nomenclatura y formateo definidos en este documento.</w:t>
      </w:r>
    </w:p>
    <w:p>
      <w:pPr>
        <w:pStyle w:val="ListParagraph"/>
        <w:numPr>
          <w:ilvl w:val="0"/>
          <w:numId w:val="2"/>
        </w:numPr>
        <w:spacing w:after="80" w:before="40" w:line="260"/>
      </w:pPr>
      <w:r>
        <w:rPr>
          <w:rFonts w:ascii="Arial" w:cs="Arial" w:eastAsia="Arial" w:hAnsi="Arial"/>
          <w:color w:val="1A1A1A"/>
          <w:sz w:val="22"/>
          <w:szCs w:val="22"/>
        </w:rPr>
        <w:t xml:space="preserve">La documentación (docstrings, comentarios complejos) está actualizada.</w:t>
      </w:r>
    </w:p>
    <w:p>
      <w:pPr>
        <w:pStyle w:val="ListParagraph"/>
        <w:numPr>
          <w:ilvl w:val="0"/>
          <w:numId w:val="2"/>
        </w:numPr>
        <w:spacing w:after="80" w:before="40" w:line="260"/>
      </w:pPr>
      <w:r>
        <w:rPr>
          <w:rFonts w:ascii="Arial" w:cs="Arial" w:eastAsia="Arial" w:hAnsi="Arial"/>
          <w:color w:val="1A1A1A"/>
          <w:sz w:val="22"/>
          <w:szCs w:val="22"/>
        </w:rPr>
        <w:t xml:space="preserve">El PR tiene máximo 400 líneas de cambio. Si es mayor, debe dividirse en PRs más pequeños.</w:t>
      </w:r>
    </w:p>
    <w:p>
      <w:pPr>
        <w:pStyle w:val="Heading2"/>
        <w:spacing w:after="120" w:before="240"/>
      </w:pPr>
      <w:r>
        <w:rPr>
          <w:rFonts w:ascii="Arial" w:cs="Arial" w:eastAsia="Arial" w:hAnsi="Arial"/>
          <w:b/>
          <w:bCs/>
          <w:color w:val="2E5C99"/>
          <w:sz w:val="24"/>
          <w:szCs w:val="24"/>
        </w:rPr>
        <w:t xml:space="preserve">6.2 Checklist del Revisor</w:t>
      </w:r>
    </w:p>
    <w:p>
      <w:pPr>
        <w:pStyle w:val="ListParagraph"/>
        <w:numPr>
          <w:ilvl w:val="0"/>
          <w:numId w:val="2"/>
        </w:numPr>
        <w:spacing w:after="80" w:before="40" w:line="260"/>
      </w:pPr>
      <w:r>
        <w:rPr>
          <w:rFonts w:ascii="Arial" w:cs="Arial" w:eastAsia="Arial" w:hAnsi="Arial"/>
          <w:color w:val="1A1A1A"/>
          <w:sz w:val="22"/>
          <w:szCs w:val="22"/>
        </w:rPr>
        <w:t xml:space="preserve">La lógica de negocio implementada corresponde exactamente al requerimiento referenciado.</w:t>
      </w:r>
    </w:p>
    <w:p>
      <w:pPr>
        <w:pStyle w:val="ListParagraph"/>
        <w:numPr>
          <w:ilvl w:val="0"/>
          <w:numId w:val="2"/>
        </w:numPr>
        <w:spacing w:after="80" w:before="40" w:line="260"/>
      </w:pPr>
      <w:r>
        <w:rPr>
          <w:rFonts w:ascii="Arial" w:cs="Arial" w:eastAsia="Arial" w:hAnsi="Arial"/>
          <w:color w:val="1A1A1A"/>
          <w:sz w:val="22"/>
          <w:szCs w:val="22"/>
        </w:rPr>
        <w:t xml:space="preserve">No hay violaciones de seguridad: inputs validados, queries parametrizadas, sin secretos hardcodeados.</w:t>
      </w:r>
    </w:p>
    <w:p>
      <w:pPr>
        <w:pStyle w:val="ListParagraph"/>
        <w:numPr>
          <w:ilvl w:val="0"/>
          <w:numId w:val="2"/>
        </w:numPr>
        <w:spacing w:after="80" w:before="40" w:line="260"/>
      </w:pPr>
      <w:r>
        <w:rPr>
          <w:rFonts w:ascii="Arial" w:cs="Arial" w:eastAsia="Arial" w:hAnsi="Arial"/>
          <w:color w:val="1A1A1A"/>
          <w:sz w:val="22"/>
          <w:szCs w:val="22"/>
        </w:rPr>
        <w:t xml:space="preserve">El código es legible y sigue los principios SOLID y los estándares del proyecto.</w:t>
      </w:r>
    </w:p>
    <w:p>
      <w:pPr>
        <w:pStyle w:val="ListParagraph"/>
        <w:numPr>
          <w:ilvl w:val="0"/>
          <w:numId w:val="2"/>
        </w:numPr>
        <w:spacing w:after="80" w:before="40" w:line="260"/>
      </w:pPr>
      <w:r>
        <w:rPr>
          <w:rFonts w:ascii="Arial" w:cs="Arial" w:eastAsia="Arial" w:hAnsi="Arial"/>
          <w:color w:val="1A1A1A"/>
          <w:sz w:val="22"/>
          <w:szCs w:val="22"/>
        </w:rPr>
        <w:t xml:space="preserve">Las pruebas cubren los casos borde y los flujos alternativos, no solo el happy path.</w:t>
      </w:r>
    </w:p>
    <w:p>
      <w:pPr>
        <w:pStyle w:val="ListParagraph"/>
        <w:numPr>
          <w:ilvl w:val="0"/>
          <w:numId w:val="2"/>
        </w:numPr>
        <w:spacing w:after="80" w:before="40" w:line="260"/>
      </w:pPr>
      <w:r>
        <w:rPr>
          <w:rFonts w:ascii="Arial" w:cs="Arial" w:eastAsia="Arial" w:hAnsi="Arial"/>
          <w:color w:val="1A1A1A"/>
          <w:sz w:val="22"/>
          <w:szCs w:val="22"/>
        </w:rPr>
        <w:t xml:space="preserve">No hay código muerto, comentado o TODOs sin ticket asociado.</w:t>
      </w:r>
    </w:p>
    <w:p>
      <w:pPr>
        <w:spacing w:after="60" w:before="0"/>
      </w:pPr>
      <w:r>
        <w:t xml:space="preserve"/>
      </w:r>
    </w:p>
    <w:p>
      <w:pPr>
        <w:spacing w:after="60" w:before="0"/>
      </w:pPr>
      <w:r>
        <w:t xml:space="preserve"/>
      </w:r>
    </w:p>
    <w:p>
      <w:pPr>
        <w:spacing w:before="200"/>
        <w:jc w:val="center"/>
      </w:pPr>
      <w:r>
        <w:rPr>
          <w:rFonts w:ascii="Arial" w:cs="Arial" w:eastAsia="Arial" w:hAnsi="Arial"/>
          <w:i/>
          <w:iCs/>
          <w:color w:val="555555"/>
          <w:sz w:val="20"/>
          <w:szCs w:val="20"/>
        </w:rPr>
        <w:t xml:space="preserve">— Fin del Documento ECC-DEV-002 —</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9" w:sz="4" w:space="2"/>
      </w:pBdr>
      <w:tabs>
        <w:tab w:val="right" w:pos="9026"/>
      </w:tabs>
      <w:spacing w:before="80"/>
    </w:pPr>
    <w:r>
      <w:rPr>
        <w:rFonts w:ascii="Arial" w:cs="Arial" w:eastAsia="Arial" w:hAnsi="Arial"/>
        <w:color w:val="555555"/>
        <w:sz w:val="18"/>
        <w:szCs w:val="18"/>
      </w:rPr>
      <w:t xml:space="preserve">SistemaIA Pro – NEXUS AI SOLUTIONS S.A.S.  |  Fase de Desarrollo  |  2025</w:t>
    </w:r>
    <w:r>
      <w:rPr>
        <w:rFonts w:ascii="Arial" w:cs="Arial" w:eastAsia="Arial" w:hAnsi="Arial"/>
        <w:b/>
        <w:bCs/>
        <w:color w:val="1B2A4A"/>
        <w:sz w:val="18"/>
        <w:szCs w:val="18"/>
      </w:rPr>
      <w:t xml:space="preserve">	Doc. 2 de 4 – Fase Desarrollo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99" w:sz="4" w:space="2"/>
      </w:pBdr>
      <w:tabs>
        <w:tab w:val="right" w:pos="9026"/>
      </w:tabs>
      <w:spacing w:after="80"/>
    </w:pPr>
    <w:r>
      <w:rPr>
        <w:rFonts w:ascii="Arial" w:cs="Arial" w:eastAsia="Arial" w:hAnsi="Arial"/>
        <w:b/>
        <w:bCs/>
        <w:color w:val="1B2A4A"/>
        <w:sz w:val="18"/>
        <w:szCs w:val="18"/>
      </w:rPr>
      <w:t xml:space="preserve">INNOVATEC COLOMBIA S.A.S.  |  Estándares de Codificación</w:t>
    </w:r>
    <w:r>
      <w:rPr>
        <w:rFonts w:ascii="Arial" w:cs="Arial" w:eastAsia="Arial" w:hAnsi="Arial"/>
        <w:color w:val="2E5C99"/>
        <w:sz w:val="18"/>
        <w:szCs w:val="18"/>
      </w:rPr>
      <w:t xml:space="preserve">	ECC-DEV-002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2026-06-03T21:25:06.632Z</dcterms:created>
  <dcterms:modified xsi:type="dcterms:W3CDTF">2026-06-03T21:25:06.632Z</dcterms:modified>
</cp:coreProperties>
</file>

<file path=docProps/custom.xml><?xml version="1.0" encoding="utf-8"?>
<Properties xmlns="http://schemas.openxmlformats.org/officeDocument/2006/custom-properties" xmlns:vt="http://schemas.openxmlformats.org/officeDocument/2006/docPropsVTypes"/>
</file>