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1D95" w:val="clear"/>
            <w:tcMar>
              <w:top w:type="dxa" w:w="440"/>
              <w:left w:type="dxa" w:w="500"/>
              <w:bottom w:type="dxa" w:w="440"/>
              <w:right w:type="dxa" w:w="500"/>
            </w:tcMar>
          </w:tcPr>
          <w:p>
            <w:pPr>
              <w:jc w:val="center"/>
            </w:pPr>
            <w:r>
              <w:rPr>
                <w:rFonts w:ascii="Arial" w:cs="Arial" w:eastAsia="Arial" w:hAnsi="Arial"/>
                <w:b/>
                <w:bCs/>
                <w:color w:val="FFFFFF"/>
                <w:sz w:val="38"/>
                <w:szCs w:val="38"/>
              </w:rPr>
              <w:t xml:space="preserve">REGISTRO DE DECISIONES DE ARQUITECTURA (ADR)</w:t>
            </w:r>
          </w:p>
          <w:p>
            <w:pPr>
              <w:spacing w:before="100"/>
              <w:jc w:val="center"/>
            </w:pPr>
            <w:r>
              <w:rPr>
                <w:rFonts w:ascii="Arial" w:cs="Arial" w:eastAsia="Arial" w:hAnsi="Arial"/>
                <w:i/>
                <w:iCs/>
                <w:color w:val="A8C4E5"/>
                <w:sz w:val="22"/>
                <w:szCs w:val="22"/>
              </w:rPr>
              <w:t xml:space="preserve">SistemaIA Pro – INNOVATEC COLOMBIA S.A.S.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ADR-DEV-003</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Versión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1.0</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22 de julio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Luis H. Bermúdez – Arquitecto de Software, NEXUS AI SOLUTIONS</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Propósito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Registro histórico de decisiones arquitectónicas significativas con su justificación</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Estado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Documento vivo – se actualiza con cada decisión significativa</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1. PROPÓSITO DE LOS ADRs</w:t>
      </w:r>
    </w:p>
    <w:p>
      <w:pPr>
        <w:spacing w:after="100" w:before="60" w:line="280"/>
        <w:jc w:val="both"/>
      </w:pPr>
      <w:r>
        <w:rPr>
          <w:rFonts w:ascii="Arial" w:cs="Arial" w:eastAsia="Arial" w:hAnsi="Arial"/>
          <w:color w:val="1A1A1A"/>
          <w:sz w:val="22"/>
          <w:szCs w:val="22"/>
        </w:rPr>
        <w:t xml:space="preserve">Un Architecture Decision Record (ADR) es un documento corto que captura una decisión arquitectónica importante: el contexto que la motivó, la decisión tomada, las alternativas consideradas y las consecuencias esperadas. Este registro permite a cualquier miembro del equipo (presente o futuro) entender por qué el sistema fue construido de cierta manera, evitando que se revierta involuntariamente una decisión ya evaluada.</w:t>
      </w:r>
    </w:p>
    <w:p>
      <w:pPr>
        <w:spacing w:after="100" w:before="60" w:line="280"/>
        <w:jc w:val="both"/>
      </w:pPr>
      <w:r>
        <w:rPr>
          <w:rFonts w:ascii="Arial" w:cs="Arial" w:eastAsia="Arial" w:hAnsi="Arial"/>
          <w:color w:val="1A1A1A"/>
          <w:sz w:val="22"/>
          <w:szCs w:val="22"/>
        </w:rPr>
        <w:t xml:space="preserve">Cada ADR es inmutable una vez aprobado. Si la decisión cambia, se crea un nuevo ADR que reemplaza al anterior (el ADR original queda en estado 'Reemplazado' con referencia al nuevo).</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2. REGISTRO DE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ADR-001: Microservicios sobre Arquitectura Monolítica  |  Estado: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Contexto y Problema</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SistemaIA Pro tiene múltiples módulos con características técnicas muy diferentes: el Motor IA requiere GPU y procesamiento pesado, el módulo NLP consume APIs externas con latencia alta, el Dashboard requiere respuesta en tiempo real, y el Workflow Engine necesita procesamiento asíncrono. Una arquitectura monolítica impediría escalar o desplegar cada módulo de forma independiente según sus necesidades específicas.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Decisión Tomada</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B2A4A"/>
                <w:sz w:val="20"/>
                <w:szCs w:val="20"/>
              </w:rPr>
              <w:t xml:space="preserve">Se adopta arquitectura de microservicios con 7 servicios independientes (Auth, Workflow, AI/ML, NLP, Notification, API Gateway, Frontend). Cada servicio tiene su propio repositorio de datos y se despliega en contenedores Docker independientes en AWS ECS Fargate.</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Consecuencias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Positivas: escalabilidad independiente por servicio, despliegues sin downtime completo, tecnología óptima por servicio, resiliencia ante fallos parciales. Negativas: mayor complejidad operacional, latencia de red entre servicios, necesidad de orquestación (ECS), gestión de consistencia eventual entre servicios.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Alternativas Consideradas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Arquitectura monolítica modular: descartada porque impediría el escalado independiente del AI/ML Service (que requiere GPU) y generaría un único punto de fallo. Arquitectura serverless pura (Lambda): descartada porque los modelos ML tienen tiempos de arranque en frío superiores a 10 segundos, incompatibles con el RNF-001 de respuesta &lt; 2 segundos.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ADR-002: FastAPI sobre Django REST Framework para el Backend  |  Estado: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Contexto y Problema</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equipo necesita un framework Python para los microservicios backend que sea performante, soporte async/await nativo (necesario para el AI/ML Service), tenga validación automática de schemas (Pydantic) y generación automática de documentación OpenAPI. La latencia de respuesta es crítica (P95 &lt; 2 seg con 200 usuarios concurrentes según RNF-001).</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Decisión Tomada</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B2A4A"/>
                <w:sz w:val="20"/>
                <w:szCs w:val="20"/>
              </w:rPr>
              <w:t xml:space="preserve">Se elige FastAPI como framework principal para todos los microservicios Python. Se utilizará Pydantic v2 para validación de schemas, SQLAlchemy 2.0 async para acceso a datos, y pytest-asyncio para pruebas de endpoints asíncronos.</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Consecuencias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Positivas: soporte nativo de async/await que permite mayor throughput, validación automática de request/response con Pydantic, documentación OpenAPI autogenerada, performance superior a Django en benchmarks de I/O intensivo (+40% req/seg en pruebas internas). Negativas: ecosistema más joven que Django, menos plugins de terceros disponibles, el equipo tuvo que profundizar en patterns async.</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Alternativas Consideradas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Django REST Framework: descartado por su modelo síncrono por defecto (menos eficiente para operaciones I/O-bound como llamadas a modelos ML) y overhead de ORM mayor para operaciones simples. Flask: descartado por falta de validación automática de schemas y ausencia de soporte async nativo en la versión estable.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ADR-003: PostgreSQL + MongoDB sobre Una Sola Base de Datos  |  Estado: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Contexto y Problema</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maneja dos tipos muy distintos de datos: (a) datos relacionales estructurados como usuarios, tareas, flujos de trabajo, KPIs y logs de auditoría, que tienen relaciones complejas y requieren transacciones ACID; y (b) datos semiestructurados o sin esquema fijo como definiciones de flujos en JSON, configuraciones de widgets del dashboard, resultados de análisis NLP y documentos empresariales de tamaño variable.</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Decisión Tomada</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B2A4A"/>
                <w:sz w:val="20"/>
                <w:szCs w:val="20"/>
              </w:rPr>
              <w:t xml:space="preserve">Se adopta persistencia políglota: PostgreSQL 16 (AWS RDS) para todos los datos relacionales y transaccionales, y MongoDB 7.0 (AWS DocumentDB) para documentos, configuraciones y resultados de procesamiento NLP. Redis 7.2 (AWS ElastiCache) como caché y broker de mensajes para Celery.</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Consecuencias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Positivas: cada motor de datos es usado para lo que hace mejor, queries complejas relacionales en PostgreSQL con joins y transacciones ACID, documentos flexibles en MongoDB sin migrations costosas, Redis minimiza carga en PostgreSQL y RDS reduce latencia. Negativas: mayor complejidad de operaciones, tres tecnologías de datos que el equipo debe manejar, potencial inconsistencia eventual entre bases de datos para operaciones que cruzan ambos sistemas.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Alternativas Consideradas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Solo PostgreSQL con columnas JSONB para datos semiestructurados: evaluado, pero las queries sobre JSONB tienen peor rendimiento que MongoDB para documentos grandes y búsquedas semánticas. Solo MongoDB: descartado porque las transacciones multi-documento y las queries relacionales complejas de auditoría son más eficientes y confiables en PostgreSQL.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ADR-004: Celery + Redis para Procesamiento Asíncrono  |  Estado: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Contexto y Problema</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Varias operaciones del sistema son de larga duración y no pueden bloquear la respuesta al usuario: el entrenamiento de modelos ML puede tomar 15-30 minutos, la clasificación NLP de documentos grandes puede tomar 30-60 segundos, y el envío masivo de notificaciones de alerta puede generar cientos de emails en paralelo. El RNF-001 exige respuesta &lt; 2 segundos al usuario.</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Decisión Tomada</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B2A4A"/>
                <w:sz w:val="20"/>
                <w:szCs w:val="20"/>
              </w:rPr>
              <w:t xml:space="preserve">Se adopta Celery 5.3 con Redis 7.2 como broker de mensajes para todas las operaciones asíncronas y de larga duración. Las tareas pesadas se encolan en Redis y son ejecutadas por workers Celery en contenedores separados. El API devuelve inmediatamente un task_id al usuario; el frontend consulta el estado mediante polling o WebSockets.</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Consecuencias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Positivas: el usuario recibe respuesta inmediata (&lt;2 seg), las operaciones pesadas se ejecutan en paralelo sin bloquear la API, los workers Celery pueden escalar independientemente, Redis provee persistencia de tareas ante reinicios. Negativas: complejidad adicional en el manejo de estados de tareas, necesidad de implementar polling o WebSockets en el frontend, posibles inconsistencias si un worker falla a mitad de una tarea (requiere tareas idempotentes).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Alternativas Consideradas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FastAPI BackgroundTasks: descartado porque las tareas se pierden si el proceso principal reinicia y no soporta distribución entre múltiples workers. AWS SQS + Lambda: evaluado, pero los cold starts de Lambda son incompatibles con operaciones que requieren modelos ML cargados en memoria. RQ (Redis Queue): descartado por ecosistema más limitado que Celery y menor documentación.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ADR-005: React 18 + TypeScript para el Frontend  |  Estado: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Contexto y Problema</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frontend de SistemaIA Pro es una aplicación compleja con dashboards en tiempo real, un editor drag &amp; drop de flujos de trabajo, visualizaciones de datos de analítica predictiva y formularios con validación avanzada. Se requiere un framework que soporte rendimiento alto con muchas actualizaciones de estado, sea maduro para un equipo de 2 desarrolladores frontend, y tenga buen soporte TypeScript.</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Decisión Tomada</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B2A4A"/>
                <w:sz w:val="20"/>
                <w:szCs w:val="20"/>
              </w:rPr>
              <w:t xml:space="preserve">Se elige React 18 con TypeScript estricto como framework de UI, TanStack Query para gestión de estado del servidor, Zustand para estado global del cliente, Recharts para visualizaciones de datos, React Flow para el editor de flujos drag &amp; drop, y Tailwind CSS para estilos.</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Consecuencias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Positivas: React 18 Concurrent Mode mejora el rendimiento de actualizaciones del dashboard, el equipo tiene experiencia previa sólida en React, ecosistema maduro con librerías específicas para cada necesidad (React Flow para flujos, Recharts para gráficas), TypeScript strict mode previene una clase entera de bugs en tiempo de compilación. Negativas: bundle size mayor que alternativas más ligeras, curva de aprendizaje de React Query y Zustand para el equipo.</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Alternativas Consideradas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Vue 3 + Composition API: descartado porque el equipo tiene mayor experiencia en React y habría una curva de aprendizaje adicional que impactaría el cronograma. Angular: descartado por mayor complejidad de setup y verbosidad que ralentizaría el desarrollo en el tiempo disponible. Next.js (SSR): evaluado, pero el sistema es una SPA autenticada sin necesidad de SEO, por lo que el SSR no agrega valor y añade complejidad.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ADR-006: JWT + MFA Obligatorio para Autenticación  |  Estado: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Contexto y Problema</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maneja información empresarial sensible de INNOVATEC COLOMBIA S.A.S., incluyendo datos financieros, procesos internos y datos personales de empleados protegidos por la Ley 1581/2012. El RF-001 exige MFA para todos los usuarios. Se debe elegir entre JWT stateless o sesiones con estado en servidor, y entre TOTP (app autenticadora) u OTP por email/SMS.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Decisión Tomada</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B2A4A"/>
                <w:sz w:val="20"/>
                <w:szCs w:val="20"/>
              </w:rPr>
              <w:t xml:space="preserve">Se implementa autenticación JWT con tokens RS256 (clave pública/privada, no simétrica). Los tokens tienen expiración de 8 horas. MFA obligatorio usando TOTP (RFC 6238) compatible con Google Authenticator, Authy y Microsoft Authenticator. Los refresh tokens se almacenan en Redis con TTL de 7 días y son revocables. Las claves RSA se rotan mensualmente con AWS Secrets Manager.</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Consecuencias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Positivas: JWT stateless reduce la carga en Redis comparado con sesiones full-stateful, RS256 permite verificar tokens en múltiples microservicios sin compartir el secreto de firma, TOTP no requiere envío de mensajes (sin dependencia de SMS/email para login), tokens revocables mediante lista negra en Redis con bajo overhead. Negativas: los JWTs no son revocables instantáneamente sin Redis (se mitiga con TTL corto de 8h), TOTP requiere que el usuario instale una app autenticadora.</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Alternativas Consideradas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Sesiones con estado en base de datos: descartado porque cada validación de sesión requeriría una consulta a BD, generando latencia adicional inaceptable bajo carga de 200 usuarios. OTP por email para MFA: descartado como método principal porque depende de la disponibilidad del servicio de email y agrega latencia al login. Se mantiene como método de respaldo. OAuth2/OIDC con proveedor externo: evaluado, pero INNOVATEC no tiene un Identity Provider corporativo existente y agregar uno estaría fuera del alcance del proyecto.</w:t>
            </w:r>
          </w:p>
        </w:tc>
      </w:tr>
    </w:tbl>
    <w:p>
      <w:pPr>
        <w:spacing w:after="60" w:before="0"/>
      </w:pPr>
      <w:r>
        <w:t xml:space="preserve"/>
      </w:r>
    </w:p>
    <w:p>
      <w:pPr>
        <w:spacing w:after="60" w:before="0"/>
      </w:pPr>
      <w:r>
        <w:t xml:space="preserve"/>
      </w:r>
    </w:p>
    <w:p>
      <w:pPr>
        <w:spacing w:after="60" w:before="0"/>
      </w:pPr>
      <w:r>
        <w:t xml:space="preserve"/>
      </w:r>
    </w:p>
    <w:p>
      <w:pPr>
        <w:spacing w:before="200"/>
        <w:jc w:val="center"/>
      </w:pPr>
      <w:r>
        <w:rPr>
          <w:rFonts w:ascii="Arial" w:cs="Arial" w:eastAsia="Arial" w:hAnsi="Arial"/>
          <w:i/>
          <w:iCs/>
          <w:color w:val="555555"/>
          <w:sz w:val="20"/>
          <w:szCs w:val="20"/>
        </w:rPr>
        <w:t xml:space="preserve">— Fin del Documento ADR-DEV-003 —</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Fase de Desarrollo  |  2025</w:t>
    </w:r>
    <w:r>
      <w:rPr>
        <w:rFonts w:ascii="Arial" w:cs="Arial" w:eastAsia="Arial" w:hAnsi="Arial"/>
        <w:b/>
        <w:bCs/>
        <w:color w:val="1B2A4A"/>
        <w:sz w:val="18"/>
        <w:szCs w:val="18"/>
      </w:rPr>
      <w:t xml:space="preserve">	Doc. 3 de 4 – Fase Desarrollo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Registro de Decisiones de Arquitectura</w:t>
    </w:r>
    <w:r>
      <w:rPr>
        <w:rFonts w:ascii="Arial" w:cs="Arial" w:eastAsia="Arial" w:hAnsi="Arial"/>
        <w:color w:val="2E5C99"/>
        <w:sz w:val="18"/>
        <w:szCs w:val="18"/>
      </w:rPr>
      <w:t xml:space="preserve">	ADR-DEV-003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2026-06-03T21:25:06.860Z</dcterms:created>
  <dcterms:modified xsi:type="dcterms:W3CDTF">2026-06-03T21:25:06.860Z</dcterms:modified>
</cp:coreProperties>
</file>

<file path=docProps/custom.xml><?xml version="1.0" encoding="utf-8"?>
<Properties xmlns="http://schemas.openxmlformats.org/officeDocument/2006/custom-properties" xmlns:vt="http://schemas.openxmlformats.org/officeDocument/2006/docPropsVTypes"/>
</file>