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A" w:val="clear"/>
            <w:tcMar>
              <w:top w:type="dxa" w:w="440"/>
              <w:left w:type="dxa" w:w="500"/>
              <w:bottom w:type="dxa" w:w="44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MANUAL TÉCNICO DEL SISTEMA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i/>
                <w:iCs/>
                <w:color w:val="A8C4E5"/>
                <w:sz w:val="22"/>
                <w:szCs w:val="22"/>
              </w:rPr>
              <w:t xml:space="preserve">SistemaIA Pro – NEXUS AI SOLUTIONS S.A.S.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C9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MTS-DEV-004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Versión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Fecha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 de noviembre de 2025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Elaborado por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Luis H. Bermúdez – Arquitecto | Carlos M. Pedroza – Dev Backend | Felipe A. Gómez – Dev Frontend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Revisado por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Roberto Suárez León – QA Lead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Audiencia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Equipo de TI de INNOVATEC | Desarrolladores de mantenimiento futuros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Estado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Versión final para entrega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5C99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1. DESCRIPCIÓN GENERAL DEL SISTEMA</w:t>
      </w:r>
    </w:p>
    <w:p>
      <w:pPr>
        <w:spacing w:after="100" w:before="60" w:line="2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SistemaIA Pro es un aplicativo web empresarial de arquitectura de microservicios desplegado en AWS, compuesto por 7 servicios backend en Python/FastAPI, una Single Page Application en React/TypeScript, 3 motores de base de datos (PostgreSQL, MongoDB, Redis) y modelos de Machine Learning entrenados con TensorFlow y PyTorch. El sistema procesa en promedio 15.000 peticiones HTTP/día, ejecuta 200 flujos de trabajo activos, clasifica 50 documentos/día con NLP y genera 20 predicciones ML/día.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5C99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2. PREREQUISITOS E INSTALACIÓN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99"/>
          <w:sz w:val="24"/>
          <w:szCs w:val="24"/>
        </w:rPr>
        <w:t xml:space="preserve">2.1 Requisitos del Servidor de Producción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4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Especificación Mínima</w:t>
            </w:r>
          </w:p>
        </w:tc>
        <w:tc>
          <w:tcPr>
            <w:tcW w:type="dxa" w:w="34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Especificación Recomendada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Servidor de Aplicación (ECS Fargate)</w:t>
            </w:r>
          </w:p>
        </w:tc>
        <w:tc>
          <w:tcPr>
            <w:tcW w:type="dxa" w:w="34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vCPU, 4 GB RAM por tarea. Mínimo 2 tareas por servicio.</w:t>
            </w:r>
          </w:p>
        </w:tc>
        <w:tc>
          <w:tcPr>
            <w:tcW w:type="dxa" w:w="34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vCPU, 8 GB RAM. Auto Scaling hasta 10 tareas en picos.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Base de Datos PostgreSQL (RDS)</w:t>
            </w:r>
          </w:p>
        </w:tc>
        <w:tc>
          <w:tcPr>
            <w:tcW w:type="dxa" w:w="34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db.t3.medium: 2 vCPU, 4 GB RAM, 100 GB SSD gp3.</w:t>
            </w:r>
          </w:p>
        </w:tc>
        <w:tc>
          <w:tcPr>
            <w:tcW w:type="dxa" w:w="34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db.r6g.large: 2 vCPU, 16 GB RAM, 500 GB SSD gp3 Multi-AZ.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MongoDB (DocumentDB)</w:t>
            </w:r>
          </w:p>
        </w:tc>
        <w:tc>
          <w:tcPr>
            <w:tcW w:type="dxa" w:w="34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db.t3.medium: 2 vCPU, 4 GB RAM. Cluster 1 nodo.</w:t>
            </w:r>
          </w:p>
        </w:tc>
        <w:tc>
          <w:tcPr>
            <w:tcW w:type="dxa" w:w="34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db.r6g.large con 3 nodos (1 primario + 2 réplicas).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Redis (ElastiCache)</w:t>
            </w:r>
          </w:p>
        </w:tc>
        <w:tc>
          <w:tcPr>
            <w:tcW w:type="dxa" w:w="34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cache.t3.small: 1 vCPU, 1.37 GB RAM.</w:t>
            </w:r>
          </w:p>
        </w:tc>
        <w:tc>
          <w:tcPr>
            <w:tcW w:type="dxa" w:w="34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cache.r6g.large: 2 vCPU, 13.07 GB RAM con réplica.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Workers ML (ECS Fargate GPU)</w:t>
            </w:r>
          </w:p>
        </w:tc>
        <w:tc>
          <w:tcPr>
            <w:tcW w:type="dxa" w:w="34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vCPU, 8 GB RAM por worker. Mínimo 1 worker.</w:t>
            </w:r>
          </w:p>
        </w:tc>
        <w:tc>
          <w:tcPr>
            <w:tcW w:type="dxa" w:w="34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vCPU, 16 GB RAM. GPU g4dn.xlarge para entrenamiento.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Almacenamiento S3</w:t>
            </w:r>
          </w:p>
        </w:tc>
        <w:tc>
          <w:tcPr>
            <w:tcW w:type="dxa" w:w="34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 GB inicial con versionado.</w:t>
            </w:r>
          </w:p>
        </w:tc>
        <w:tc>
          <w:tcPr>
            <w:tcW w:type="dxa" w:w="34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500 GB con Intelligent-Tiering y Lifecycle a Glacier &gt;90 días.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99"/>
          <w:sz w:val="24"/>
          <w:szCs w:val="24"/>
        </w:rPr>
        <w:t xml:space="preserve">2.2 Dependencias de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5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Python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3.11.x</w:t>
            </w:r>
          </w:p>
        </w:tc>
        <w:tc>
          <w:tcPr>
            <w:tcW w:type="dxa" w:w="5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Lenguaje base de todos los microservicios backend y modelos IA.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FastAPI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0.104.x</w:t>
            </w:r>
          </w:p>
        </w:tc>
        <w:tc>
          <w:tcPr>
            <w:tcW w:type="dxa" w:w="5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Framework REST API para los 6 microservicios backend.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SQLAlchemy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2.0.x</w:t>
            </w:r>
          </w:p>
        </w:tc>
        <w:tc>
          <w:tcPr>
            <w:tcW w:type="dxa" w:w="5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ORM async para acceso a PostgreSQL. Migrations con Alembic.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TensorFlow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2.14.x</w:t>
            </w:r>
          </w:p>
        </w:tc>
        <w:tc>
          <w:tcPr>
            <w:tcW w:type="dxa" w:w="5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Entrenamiento e inferencia de modelos de predicción de demanda.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PyTorch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2.1.x</w:t>
            </w:r>
          </w:p>
        </w:tc>
        <w:tc>
          <w:tcPr>
            <w:tcW w:type="dxa" w:w="5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Modelos de detección de anomalías y motor de recomendaciones.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Transformers (HuggingFace)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4.35.x</w:t>
            </w:r>
          </w:p>
        </w:tc>
        <w:tc>
          <w:tcPr>
            <w:tcW w:type="dxa" w:w="5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Modelos NLP: bert-base-multilingual-cased para clasificación y NER.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Celery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5.3.x</w:t>
            </w:r>
          </w:p>
        </w:tc>
        <w:tc>
          <w:tcPr>
            <w:tcW w:type="dxa" w:w="5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Cola de tareas asíncronas para operaciones de larga duración.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Node.js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18.x LTS</w:t>
            </w:r>
          </w:p>
        </w:tc>
        <w:tc>
          <w:tcPr>
            <w:tcW w:type="dxa" w:w="5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Runtime para el build del frontend React.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React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18.2.x</w:t>
            </w:r>
          </w:p>
        </w:tc>
        <w:tc>
          <w:tcPr>
            <w:tcW w:type="dxa" w:w="5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Framework de UI para la Single Page Application.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Docker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24.x</w:t>
            </w:r>
          </w:p>
        </w:tc>
        <w:tc>
          <w:tcPr>
            <w:tcW w:type="dxa" w:w="5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Contenedores para todos los microservicios.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AWS CLI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2.x</w:t>
            </w:r>
          </w:p>
        </w:tc>
        <w:tc>
          <w:tcPr>
            <w:tcW w:type="dxa" w:w="5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Gestión de infraestructura AWS y despliegues.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99"/>
          <w:sz w:val="24"/>
          <w:szCs w:val="24"/>
        </w:rPr>
        <w:t xml:space="preserve">2.3 Variables de Entorno Requeridas</w:t>
      </w:r>
    </w:p>
    <w:p>
      <w:pPr>
        <w:spacing w:after="100" w:before="60" w:line="2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Todas las variables de entorno se gestionan en AWS Secrets Manager y se inyectan en los contenedores ECS en tiempo de despliegue. NUNCA almacenar valores reales en el repositorio de código.</w:t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# Base de Datos</w:t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DATABASE_URL=postgresql+asyncpg://user:password@rds-host:5432/siaia_db</w:t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MONGODB_URI=mongodb://user:password@docdb-host:27017/siaia_docs</w:t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REDIS_URL=redis://elasticache-host:6379/0</w:t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/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# Seguridad / JWT</w:t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JWT_PRIVATE_KEY=&lt;clave RSA privada desde AWS Secrets Manager&gt;</w:t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JWT_PUBLIC_KEY=&lt;clave RSA pública&gt;</w:t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JWT_ALGORITHM=RS256</w:t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JWT_EXPIRE_HOURS=8</w:t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/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# Servicios Externos</w:t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OPENAI_API_KEY=&lt;desde AWS Secrets Manager&gt;</w:t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AWS_SES_FROM_EMAIL=noreply@siaia.innovatec.co</w:t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SAP_ERP_BASE_URL=https://sap-api.innovatec.co</w:t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SAP_ERP_CLIENT_ID=&lt;desde AWS Secrets Manager&gt;</w:t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/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# Configuración de la Aplicación</w:t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ENVIRONMENT=production  # development | staging | production</w:t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LOG_LEVEL=INFO</w:t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ALLOWED_ORIGINS=https://siaia.innovatec.co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5C99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3. ESTRUCTURA DEL REPOSITORIO</w:t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siaia-pro/</w:t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├── services/</w:t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├── api-gateway/          # FastAPI – Enrutamiento y autenticación</w:t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├── auth-service/         # FastAPI – JWT, MFA, RBAC</w:t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├── workflow-engine/      # FastAPI + Celery – Motor de flujos</w:t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├── ai-ml-service/        # FastAPI – Modelos TF/PyTorch</w:t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├── nlp-service/          # FastAPI – HuggingFace + OpenAI</w:t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└── notification-service/ # FastAPI + Celery – Alertas y emails</w:t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├── frontend/</w:t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├── src/</w:t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│   ├── components/       # Componentes React reutilizables</w:t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│   ├── pages/            # Páginas/vistas de la aplicación</w:t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│   ├── hooks/            # Custom React Hooks</w:t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│   ├── services/         # Clientes API (TanStack Query)</w:t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│   └── store/            # Estado global (Zustand)</w:t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└── public/</w:t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├── infrastructure/</w:t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├── terraform/            # IaC para AWS (VPC, ECS, RDS, S3, WAF)</w:t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└── docker-compose.yml    # Ambiente de desarrollo local</w:t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├── ml-models/</w:t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├── demand_forecasting/   # Modelo LSTM para predicción de demanda</w:t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├── anomaly_detection/    # Modelo Isolation Forest</w:t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└── recommendation/      # Modelo colaborativo de recomendaciones</w:t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└── .github/</w:t>
      </w:r>
    </w:p>
    <w:p>
      <w:pPr>
        <w:pBdr>
          <w:top w:val="single" w:color="D0D7E3" w:sz="1"/>
          <w:bottom w:val="single" w:color="D0D7E3" w:sz="1"/>
        </w:pBdr>
        <w:shd w:fill="F0F4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└── workflows/            # Pipelines CI/CD de GitHub Actions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5C99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4. PIPELINES CI/CD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99"/>
          <w:sz w:val="24"/>
          <w:szCs w:val="24"/>
        </w:rPr>
        <w:t xml:space="preserve">4.1 Pipeline de Integración Continua (CI) – Cada PR a develop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4560"/>
        <w:gridCol w:w="1800"/>
      </w:tblGrid>
      <w:tr>
        <w:tc>
          <w:tcPr>
            <w:tcW w:type="dxa" w:w="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4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Acciones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 Est.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Checkout y Setup</w:t>
            </w:r>
          </w:p>
        </w:tc>
        <w:tc>
          <w:tcPr>
            <w:tcW w:type="dxa" w:w="4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Clonar repo, instalar Python 3.11 y Node 18, restaurar caché de dependencias.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Linting y Formateo</w:t>
            </w:r>
          </w:p>
        </w:tc>
        <w:tc>
          <w:tcPr>
            <w:tcW w:type="dxa" w:w="4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Black + isort (Python), ESLint + Prettier (TypeScript). Falla si hay violaciones.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Análisis Estático</w:t>
            </w:r>
          </w:p>
        </w:tc>
        <w:tc>
          <w:tcPr>
            <w:tcW w:type="dxa" w:w="4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mypy (type checking Python), Bandit (seguridad Python), SonarQube scan.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min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Pruebas Unitarias</w:t>
            </w:r>
          </w:p>
        </w:tc>
        <w:tc>
          <w:tcPr>
            <w:tcW w:type="dxa" w:w="4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pytest con pytest-asyncio (backend), Jest (frontend). Genera reporte de cobertura.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Análisis Cobertura</w:t>
            </w:r>
          </w:p>
        </w:tc>
        <w:tc>
          <w:tcPr>
            <w:tcW w:type="dxa" w:w="4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Verifica cobertura &gt;= 80% con pytest-cov. Falla el pipeline si está por debajo.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Escaneo Dependencias</w:t>
            </w:r>
          </w:p>
        </w:tc>
        <w:tc>
          <w:tcPr>
            <w:tcW w:type="dxa" w:w="4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Snyk scan de requirements.txt y package.json. Alerta en vulnerabilidades High+.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Build Docker</w:t>
            </w:r>
          </w:p>
        </w:tc>
        <w:tc>
          <w:tcPr>
            <w:tcW w:type="dxa" w:w="4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build de cada microservicio modificado. Verifica que la imagen construye sin errores.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Pruebas Integración</w:t>
            </w:r>
          </w:p>
        </w:tc>
        <w:tc>
          <w:tcPr>
            <w:tcW w:type="dxa" w:w="4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docker-compose up + pytest integration tests contra ambiente en memoria.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 min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Reporte al PR</w:t>
            </w:r>
          </w:p>
        </w:tc>
        <w:tc>
          <w:tcPr>
            <w:tcW w:type="dxa" w:w="4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Publicar resumen de cobertura, métricas SonarQube y resultado de seguridad en el PR.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min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99"/>
          <w:sz w:val="24"/>
          <w:szCs w:val="24"/>
        </w:rPr>
        <w:t xml:space="preserve">4.2 Pipeline de Despliegue Continuo (CD) – Merge a 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4560"/>
        <w:gridCol w:w="1800"/>
      </w:tblGrid>
      <w:tr>
        <w:tc>
          <w:tcPr>
            <w:tcW w:type="dxa" w:w="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4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Acciones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 Est.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Todos los pasos CI</w:t>
            </w:r>
          </w:p>
        </w:tc>
        <w:tc>
          <w:tcPr>
            <w:tcW w:type="dxa" w:w="4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Ejecución completa del pipeline CI como prerequisito.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28 min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Build y Push ECR</w:t>
            </w:r>
          </w:p>
        </w:tc>
        <w:tc>
          <w:tcPr>
            <w:tcW w:type="dxa" w:w="4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build + docker push de las imágenes al Elastic Container Registry de AWS.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 min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Migración de BD</w:t>
            </w:r>
          </w:p>
        </w:tc>
        <w:tc>
          <w:tcPr>
            <w:tcW w:type="dxa" w:w="4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alembic upgrade head ejecutado en el ambiente de producción con rollback automático si falla.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min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Despliegue ECS</w:t>
            </w:r>
          </w:p>
        </w:tc>
        <w:tc>
          <w:tcPr>
            <w:tcW w:type="dxa" w:w="4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aws ecs update-service con la nueva imagen. Rolling update: 50% min healthy, 200% max.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Health Checks</w:t>
            </w:r>
          </w:p>
        </w:tc>
        <w:tc>
          <w:tcPr>
            <w:tcW w:type="dxa" w:w="4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Verificación de que todos los health endpoints (/health) responden 200 OK.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min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Pruebas Smoke</w:t>
            </w:r>
          </w:p>
        </w:tc>
        <w:tc>
          <w:tcPr>
            <w:tcW w:type="dxa" w:w="4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Ejecución del suite de pruebas smoke contra producción: login, dashboard, flujo básico.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Notificación</w:t>
            </w:r>
          </w:p>
        </w:tc>
        <w:tc>
          <w:tcPr>
            <w:tcW w:type="dxa" w:w="4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Slack + email al equipo con resumen del despliegue: versión, servicios actualizados, link al ambiente.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min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5C99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5. MONITOREO Y OBSERVABILIDAD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99"/>
          <w:sz w:val="24"/>
          <w:szCs w:val="24"/>
        </w:rPr>
        <w:t xml:space="preserve">5.1 Métricas de Negocio Monitoreadas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 de Datos</w:t>
            </w:r>
          </w:p>
        </w:tc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Alerta Configurada en CloudWatch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Usuarios activos simultáneos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 (sesiones activas)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Alerta si &gt;180 usuarios (90% del límite) por más de 5 min.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Latencia P95 de respuesta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ALB Access Logs + CloudWatch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Alerta si P95 &gt; 1.5 seg (preventiva) o &gt; 2 seg (crítica).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Tasa de errores HTTP 5XX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ALB Metrics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Alerta si ErrorRate &gt; 1% en ventana de 5 minutos.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Precisión modelos ML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DynamoDB (métricas del modelo)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Alerta si precisión &lt; 80% (por debajo del umbral de reentrenamiento).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Cola de tareas Celery pendientes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 (longitud de colas)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Alerta si &gt;100 tareas pendientes por más de 15 minutos.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Espacio en disco RDS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RDS Metrics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Alerta si FreeStorageSpace &lt; 20 GB.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CPU de contenedores ECS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ECS Container Insights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Alerta si CPUUtilization &gt; 80% en cualquier servicio por &gt; 10 min.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99"/>
          <w:sz w:val="24"/>
          <w:szCs w:val="24"/>
        </w:rPr>
        <w:t xml:space="preserve">5.2 Procedimiento de Respuesta a Alertas</w:t>
      </w:r>
    </w:p>
    <w:p>
      <w:pPr>
        <w:pStyle w:val="ListParagraph"/>
        <w:numPr>
          <w:ilvl w:val="0"/>
          <w:numId w:val="2"/>
        </w:numPr>
        <w:spacing w:after="80" w:before="4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 recibir alerta crítica: revisar CloudWatch Logs del servicio afectado para identificar el error.</w:t>
      </w:r>
    </w:p>
    <w:p>
      <w:pPr>
        <w:pStyle w:val="ListParagraph"/>
        <w:numPr>
          <w:ilvl w:val="0"/>
          <w:numId w:val="2"/>
        </w:numPr>
        <w:spacing w:after="80" w:before="4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Verificar el dashboard de ECS para el estado de las tareas (running/stopped) y revisar los últimos eventos.</w:t>
      </w:r>
    </w:p>
    <w:p>
      <w:pPr>
        <w:pStyle w:val="ListParagraph"/>
        <w:numPr>
          <w:ilvl w:val="0"/>
          <w:numId w:val="2"/>
        </w:numPr>
        <w:spacing w:after="80" w:before="4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el servicio no responde: ejecutar aws ecs update-service --force-new-deployment para forzar reinicio.</w:t>
      </w:r>
    </w:p>
    <w:p>
      <w:pPr>
        <w:pStyle w:val="ListParagraph"/>
        <w:numPr>
          <w:ilvl w:val="0"/>
          <w:numId w:val="2"/>
        </w:numPr>
        <w:spacing w:after="80" w:before="4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persiste: revisar los logs de la base de datos en RDS y verificar conexiones activas.</w:t>
      </w:r>
    </w:p>
    <w:p>
      <w:pPr>
        <w:pStyle w:val="ListParagraph"/>
        <w:numPr>
          <w:ilvl w:val="0"/>
          <w:numId w:val="2"/>
        </w:numPr>
        <w:spacing w:after="80" w:before="4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Escalar a: Roberto Suárez (QA) → Luis Bermúdez (Arquitecto) → Valentina Torres (GP) → Andrés Morales (Gerente INNOVATEC).</w:t>
      </w:r>
    </w:p>
    <w:p>
      <w:pPr>
        <w:pStyle w:val="ListParagraph"/>
        <w:numPr>
          <w:ilvl w:val="0"/>
          <w:numId w:val="2"/>
        </w:numPr>
        <w:spacing w:after="80" w:before="4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Documentar el incidente en el log de incidentes de AWS Systems Manager OpsCenter.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— Fin del Documento MTS-DEV-004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C99" w:sz="4" w:space="2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8"/>
        <w:szCs w:val="18"/>
      </w:rPr>
      <w:t xml:space="preserve">SistemaIA Pro – NEXUS AI SOLUTIONS S.A.S.  |  Fase de Desarrollo  |  2025</w:t>
    </w: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	Doc. 4 de 4 – Fase Desarrollo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C99" w:sz="4" w:space="2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INNOVATEC COLOMBIA S.A.S.  |  Manual Técnico del Sistema</w:t>
    </w:r>
    <w:r>
      <w:rPr>
        <w:rFonts w:ascii="Arial" w:cs="Arial" w:eastAsia="Arial" w:hAnsi="Arial"/>
        <w:color w:val="2E5C99"/>
        <w:sz w:val="18"/>
        <w:szCs w:val="18"/>
      </w:rPr>
      <w:t xml:space="preserve">	MTS-DEV-004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C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2026-06-03T21:25:07.004Z</dcterms:created>
  <dcterms:modified xsi:type="dcterms:W3CDTF">2026-06-03T21:25:07.004Z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