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PLAN DE DESPLIEGUE E IMPLEMENTACIÓN</w:t>
            </w:r>
          </w:p>
          <w:p>
            <w:pPr>
              <w:spacing w:before="100"/>
              <w:jc w:val="center"/>
            </w:pPr>
            <w:r>
              <w:rPr>
                <w:rFonts w:ascii="Arial" w:cs="Arial" w:eastAsia="Arial" w:hAnsi="Arial"/>
                <w:i/>
                <w:iCs/>
                <w:color w:val="A8C4E5"/>
                <w:sz w:val="22"/>
                <w:szCs w:val="22"/>
              </w:rPr>
              <w:t xml:space="preserve">SistemaIA Pro – INNOVATEC COLOMBIA S.A.S.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PDI-IMP-005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 de diciembre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Luis H. Bermúdez – Arquitecto | Valentina Torres Ospina – GP</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Aprobado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Andrés F. Morales Rueda – INNOVATEC | Mauricio León – TI INNOVATEC</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 de Despliegue Planificada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15 de diciembre de 2025 – 10:00 PM (fuera de horario laboral)</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Ventana de Mantenimiento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15 dic 2025 10:00 PM – 16 dic 2025 2:00 AM (4 horas máximo)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INTRODUCCIÓN Y ALCANCE</w:t>
      </w:r>
    </w:p>
    <w:p>
      <w:pPr>
        <w:spacing w:after="100" w:before="60" w:line="280"/>
        <w:jc w:val="both"/>
      </w:pPr>
      <w:r>
        <w:rPr>
          <w:rFonts w:ascii="Arial" w:cs="Arial" w:eastAsia="Arial" w:hAnsi="Arial"/>
          <w:color w:val="1A1A1A"/>
          <w:sz w:val="22"/>
          <w:szCs w:val="22"/>
        </w:rPr>
        <w:t xml:space="preserve">El Plan de Despliegue e Implementación (PDI) define el procedimiento paso a paso para el despliegue del sistema SistemaIA Pro en el ambiente de producción de INNOVATEC COLOMBIA S.A.S., una vez aprobadas satisfactoriamente las pruebas UAT (Plan UAT-QA-005). Este documento incluye el procedimiento de despliegue, el plan de rollback ante fallos, la estrategia de migración de datos, el plan de comunicación con usuarios y las actividades de soporte post-despliegue.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FEF3C7" w:val="clear"/>
            <w:tcMar>
              <w:top w:type="dxa" w:w="100"/>
              <w:left w:type="dxa" w:w="200"/>
              <w:bottom w:type="dxa" w:w="100"/>
              <w:right w:type="dxa" w:w="200"/>
            </w:tcMar>
          </w:tcPr>
          <w:p>
            <w:r>
              <w:rPr>
                <w:rFonts w:ascii="Arial" w:cs="Arial" w:eastAsia="Arial" w:hAnsi="Arial"/>
                <w:i/>
                <w:iCs/>
                <w:color w:val="1A1A1A"/>
                <w:sz w:val="20"/>
                <w:szCs w:val="20"/>
              </w:rPr>
              <w:t xml:space="preserve">IMPORTANTE: El despliegue solo se ejecutará una vez que el UAT haya sido aprobado formalmente (firma del Acta de Aceptación UAT-QA-005) y todos los defectos críticos y altos estén cerrados en Jira.</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PREREQUISITOS DEL DESPLIEGUE</w:t>
      </w:r>
    </w:p>
    <w:p>
      <w:pPr>
        <w:pStyle w:val="Heading2"/>
        <w:spacing w:after="120" w:before="240"/>
      </w:pPr>
      <w:r>
        <w:rPr>
          <w:rFonts w:ascii="Arial" w:cs="Arial" w:eastAsia="Arial" w:hAnsi="Arial"/>
          <w:b/>
          <w:bCs/>
          <w:color w:val="2E5C99"/>
          <w:sz w:val="24"/>
          <w:szCs w:val="24"/>
        </w:rPr>
        <w:t xml:space="preserve">2.1 Checklist Pre-Despliegue (72 horas 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200"/>
        <w:gridCol w:w="12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Actividad de Verificación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Responsable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Estado</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UAT completado y Acta de Aceptación firmada por INNOVATEC.</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GP NEXUS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Todos los defectos críticos y altos cerrados en Jira (0 open).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Backup completo de las bases de datos de staging verificado y restaurable.</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Infraestructura de producción AWS provisionada y validada (Terraform apply).</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Certificados SSL/TLS de producción instalados y vigentes (mínimo 12 meses).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Variables de entorno de producción cargadas en AWS Secrets Manager.</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7</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Usuarios administradores de INNOVATEC creados en el sistema de producción.</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8</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DNS apuntando a la infraestructura de producción (TTL reducido a 60 seg).</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DevOps NEXUS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9</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Notificación enviada a todos los usuarios de INNOVATEC sobre la fecha y hora del despliegue.</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GP NEXUS</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10</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Equipo de guardia confirmado para la noche del despliegue (mínimo 3 personas).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GP NEXUS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11</w:t>
            </w:r>
          </w:p>
        </w:tc>
        <w:tc>
          <w:tcPr>
            <w:tcW w:type="dxa" w:w="6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Runbook de rollback disponible y probado en staging.</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Arquitecto</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12</w:t>
            </w:r>
          </w:p>
        </w:tc>
        <w:tc>
          <w:tcPr>
            <w:tcW w:type="dxa" w:w="6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Capacitación a todos los usuarios finalizada y actas firmadas.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QA Lead</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B45309"/>
                <w:sz w:val="20"/>
                <w:szCs w:val="20"/>
              </w:rPr>
              <w:t xml:space="preserve">Pendiente</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3. ESTRATEGIA DE DESPLIEGUE – ROLLING UPDATE</w:t>
      </w:r>
    </w:p>
    <w:p>
      <w:pPr>
        <w:spacing w:after="100" w:before="60" w:line="280"/>
        <w:jc w:val="both"/>
      </w:pPr>
      <w:r>
        <w:rPr>
          <w:rFonts w:ascii="Arial" w:cs="Arial" w:eastAsia="Arial" w:hAnsi="Arial"/>
          <w:color w:val="1A1A1A"/>
          <w:sz w:val="22"/>
          <w:szCs w:val="22"/>
        </w:rPr>
        <w:t xml:space="preserve">Se utilizará una estrategia de Rolling Update en AWS ECS para garantizar cero downtime durante el despliegue. El Load Balancer mantendrá tráfico activo en las instancias antiguas mientras las nuevas se inicializan y superan los health checks. La configuración de ECS garantiza un mínimo del 50% de tareas saludables en todo momento durante el proceso.</w:t>
      </w:r>
    </w:p>
    <w:p>
      <w:pPr>
        <w:pStyle w:val="Heading2"/>
        <w:spacing w:after="120" w:before="240"/>
      </w:pPr>
      <w:r>
        <w:rPr>
          <w:rFonts w:ascii="Arial" w:cs="Arial" w:eastAsia="Arial" w:hAnsi="Arial"/>
          <w:b/>
          <w:bCs/>
          <w:color w:val="2E5C99"/>
          <w:sz w:val="24"/>
          <w:szCs w:val="24"/>
        </w:rPr>
        <w:t xml:space="preserve">3.1 Secuencia de Despliegue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360"/>
        <w:gridCol w:w="1400"/>
        <w:gridCol w:w="8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Servicio</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Comando de Despliegue</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Health Check</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Tiempo Est.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Orden</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PostgreSQL (Migración)</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alembic upgrade head --config alembic.ini</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SELECT 1 en RDS. Verificar tablas nuevas creadas.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min</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9B1C1C"/>
                <w:sz w:val="20"/>
                <w:szCs w:val="20"/>
              </w:rPr>
              <w:t xml:space="preserve">Crítico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Auth Service</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siaia-auth --force-new-deployment</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DB conectada.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min</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1°</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API Gateway</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siaia-gateway --force-new-deployment</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Auth reachable.</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min</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2°</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Workflow Engine</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siaia-workflow --force-new-deployment</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Redis conectado.</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min</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3°</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NLP Service</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siaia-nlp --force-new-deployment</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modelo cargado.</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12 min</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4°</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AI/ML Service</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siaia-aiml --force-new-deployment</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modelos cargados.</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15 min</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5°</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7</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Notification Service</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ecs update-service siaia-notify --force-new-deployment</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GET /health → 200 OK + SES conectado.</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min</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6°</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8</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Frontend (S3+CloudFront)</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s3 sync + cloudfront create-invalidation</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Cargar URL producción en Chrome → SPA carga.</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min</w:t>
            </w:r>
          </w:p>
        </w:tc>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7°</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9</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Pruebas Smoke</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pytest smoke_tests/ --env=production</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100% de pruebas smoke aprobadas.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10 min</w:t>
            </w:r>
          </w:p>
        </w:tc>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D6B3A"/>
                <w:sz w:val="20"/>
                <w:szCs w:val="20"/>
              </w:rPr>
              <w:t xml:space="preserve">Final</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4. PLAN DE ROLLBACK</w:t>
      </w:r>
    </w:p>
    <w:p>
      <w:pPr>
        <w:pStyle w:val="Heading2"/>
        <w:spacing w:after="120" w:before="240"/>
      </w:pPr>
      <w:r>
        <w:rPr>
          <w:rFonts w:ascii="Arial" w:cs="Arial" w:eastAsia="Arial" w:hAnsi="Arial"/>
          <w:b/>
          <w:bCs/>
          <w:color w:val="2E5C99"/>
          <w:sz w:val="24"/>
          <w:szCs w:val="24"/>
        </w:rPr>
        <w:t xml:space="preserve">4.1 Criterios para Activar el Rollback</w:t>
      </w:r>
    </w:p>
    <w:p>
      <w:pPr>
        <w:pStyle w:val="ListParagraph"/>
        <w:numPr>
          <w:ilvl w:val="0"/>
          <w:numId w:val="2"/>
        </w:numPr>
        <w:spacing w:after="80" w:before="40" w:line="260"/>
      </w:pPr>
      <w:r>
        <w:rPr>
          <w:rFonts w:ascii="Arial" w:cs="Arial" w:eastAsia="Arial" w:hAnsi="Arial"/>
          <w:color w:val="1A1A1A"/>
          <w:sz w:val="22"/>
          <w:szCs w:val="22"/>
        </w:rPr>
        <w:t xml:space="preserve">Más del 5% de las pruebas smoke fallan tras el despliegue.</w:t>
      </w:r>
    </w:p>
    <w:p>
      <w:pPr>
        <w:pStyle w:val="ListParagraph"/>
        <w:numPr>
          <w:ilvl w:val="0"/>
          <w:numId w:val="2"/>
        </w:numPr>
        <w:spacing w:after="80" w:before="40" w:line="260"/>
      </w:pPr>
      <w:r>
        <w:rPr>
          <w:rFonts w:ascii="Arial" w:cs="Arial" w:eastAsia="Arial" w:hAnsi="Arial"/>
          <w:color w:val="1A1A1A"/>
          <w:sz w:val="22"/>
          <w:szCs w:val="22"/>
        </w:rPr>
        <w:t xml:space="preserve">El tiempo de respuesta P95 supera los 3 segundos durante más de 5 minutos consecutivos en producción.</w:t>
      </w:r>
    </w:p>
    <w:p>
      <w:pPr>
        <w:pStyle w:val="ListParagraph"/>
        <w:numPr>
          <w:ilvl w:val="0"/>
          <w:numId w:val="2"/>
        </w:numPr>
        <w:spacing w:after="80" w:before="40" w:line="260"/>
      </w:pPr>
      <w:r>
        <w:rPr>
          <w:rFonts w:ascii="Arial" w:cs="Arial" w:eastAsia="Arial" w:hAnsi="Arial"/>
          <w:color w:val="1A1A1A"/>
          <w:sz w:val="22"/>
          <w:szCs w:val="22"/>
        </w:rPr>
        <w:t xml:space="preserve">Se detecta un error de seguridad crítico no identificado en UAT.</w:t>
      </w:r>
    </w:p>
    <w:p>
      <w:pPr>
        <w:pStyle w:val="ListParagraph"/>
        <w:numPr>
          <w:ilvl w:val="0"/>
          <w:numId w:val="2"/>
        </w:numPr>
        <w:spacing w:after="80" w:before="40" w:line="260"/>
      </w:pPr>
      <w:r>
        <w:rPr>
          <w:rFonts w:ascii="Arial" w:cs="Arial" w:eastAsia="Arial" w:hAnsi="Arial"/>
          <w:color w:val="1A1A1A"/>
          <w:sz w:val="22"/>
          <w:szCs w:val="22"/>
        </w:rPr>
        <w:t xml:space="preserve">La migración de base de datos falla en cualquier paso.</w:t>
      </w:r>
    </w:p>
    <w:p>
      <w:pPr>
        <w:pStyle w:val="ListParagraph"/>
        <w:numPr>
          <w:ilvl w:val="0"/>
          <w:numId w:val="2"/>
        </w:numPr>
        <w:spacing w:after="80" w:before="40" w:line="260"/>
      </w:pPr>
      <w:r>
        <w:rPr>
          <w:rFonts w:ascii="Arial" w:cs="Arial" w:eastAsia="Arial" w:hAnsi="Arial"/>
          <w:color w:val="1A1A1A"/>
          <w:sz w:val="22"/>
          <w:szCs w:val="22"/>
        </w:rPr>
        <w:t xml:space="preserve">Dos o más microservicios no superan sus health checks tras 3 reintentos.</w:t>
      </w:r>
    </w:p>
    <w:p>
      <w:pPr>
        <w:pStyle w:val="ListParagraph"/>
        <w:numPr>
          <w:ilvl w:val="0"/>
          <w:numId w:val="2"/>
        </w:numPr>
        <w:spacing w:after="80" w:before="40" w:line="260"/>
      </w:pPr>
      <w:r>
        <w:rPr>
          <w:rFonts w:ascii="Arial" w:cs="Arial" w:eastAsia="Arial" w:hAnsi="Arial"/>
          <w:color w:val="1A1A1A"/>
          <w:sz w:val="22"/>
          <w:szCs w:val="22"/>
        </w:rPr>
        <w:t xml:space="preserve">Decisión del Gerente de INNOVATEC o del Arquitecto de NEXUS.</w:t>
      </w:r>
    </w:p>
    <w:p>
      <w:pPr>
        <w:pStyle w:val="Heading2"/>
        <w:spacing w:after="120" w:before="240"/>
      </w:pPr>
      <w:r>
        <w:rPr>
          <w:rFonts w:ascii="Arial" w:cs="Arial" w:eastAsia="Arial" w:hAnsi="Arial"/>
          <w:b/>
          <w:bCs/>
          <w:color w:val="2E5C99"/>
          <w:sz w:val="24"/>
          <w:szCs w:val="24"/>
        </w:rPr>
        <w:t xml:space="preserve">4.2 Procedimiento de Rollback (máximo 30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2800"/>
        <w:gridCol w:w="16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4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Comando</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Tiempo</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Notificar al equipo y al Gerente de INNOVATEC la decisión de rollback.</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Llamada de emergencia al grupo de WhatsApp del proyecto.</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 min</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Revertir el frontend a la versión anterior en S3 y limpiar caché CloudFront.</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s3 sync s3://siaia-frontend-backup/ s3://siaia-frontend/ + cloudfront invalidation</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min</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Revertir cada microservicio ECS a la imagen Docker anterior (tag: prev-stable).</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ecs update-service --task-definition siaia-[servicio]:prev-stable</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10 min</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Revertir la migración de base de datos si se ejecutó algún cambio.</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alembic downgrade -1 (o al revision específico pre-despliegue)</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min</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Verificar que los health checks de todos los servicios responden 200 OK.</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curl https://api.siaia.innovatec.co/health</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 min</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Ejecutar pruebas smoke de la versión anterior para confirmar estabilidad.</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pytest smoke_tests/ --env=production</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min</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7</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Comunicar a usuarios que el sistema está operativo con la versión anterior.</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masivo + mensaje en panel de inicio del sistema.</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 min</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5. MIGRACIÓN DE DATOS HISTÓRICOS</w:t>
      </w:r>
    </w:p>
    <w:p>
      <w:pPr>
        <w:pStyle w:val="Heading2"/>
        <w:spacing w:after="120" w:before="240"/>
      </w:pPr>
      <w:r>
        <w:rPr>
          <w:rFonts w:ascii="Arial" w:cs="Arial" w:eastAsia="Arial" w:hAnsi="Arial"/>
          <w:b/>
          <w:bCs/>
          <w:color w:val="2E5C99"/>
          <w:sz w:val="24"/>
          <w:szCs w:val="24"/>
        </w:rPr>
        <w:t xml:space="preserve">5.1 Estrategia de Migración</w:t>
      </w:r>
    </w:p>
    <w:p>
      <w:pPr>
        <w:spacing w:after="100" w:before="60" w:line="280"/>
        <w:jc w:val="both"/>
      </w:pPr>
      <w:r>
        <w:rPr>
          <w:rFonts w:ascii="Arial" w:cs="Arial" w:eastAsia="Arial" w:hAnsi="Arial"/>
          <w:color w:val="1A1A1A"/>
          <w:sz w:val="22"/>
          <w:szCs w:val="22"/>
        </w:rPr>
        <w:t xml:space="preserve">INNOVATEC COLOMBIA S.A.S. tiene datos históricos de procesos en hojas de cálculo Excel (formato .xlsx) y en el ERP SAP Business One que deben ser migrados al nuevo sistema para habilitar el entrenamiento de los modelos ML con datos reales. La migración se realizará en 3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60"/>
        <w:gridCol w:w="180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Fase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Datos a Migrar</w:t>
            </w:r>
          </w:p>
        </w:tc>
        <w:tc>
          <w:tcPr>
            <w:tcW w:type="dxa" w:w="3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Proceso</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Volumen Est.</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Fase M1</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Usuarios y roles de INNOVATEC</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Script Python lee el directorio de empleados de RRHH y crea los usuarios con roles asignados. Contraseña temporal enviada por email.</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~120 usuarios</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Fase M2</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Histórico de procesos y KPIs (últimos 2 años)</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ETL Python extrae de hojas Excel, valida y carga en PostgreSQL (tabla kpi_snapshots). Datos para entrenamiento de modelos ML.</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~50.000 registros</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Fase M3</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Documentos empresariales existentes</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Script carga los documentos del repositorio de SharePoint de INNOVATEC a S3 y ejecuta clasificación NLP inicial.</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~2.000 docs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6. PLAN DE COMUNICACIÓN CON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Cuándo</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Audiencia</w:t>
            </w:r>
          </w:p>
        </w:tc>
        <w:tc>
          <w:tcPr>
            <w:tcW w:type="dxa" w:w="3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Mensaje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Canal</w:t>
            </w:r>
          </w:p>
        </w:tc>
      </w:tr>
      <w:tr>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7 días antes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Todos los usuarios</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Anuncio de la fecha de implementación, horario de capacitación pendiente y link al manual de usuario.</w:t>
            </w:r>
          </w:p>
        </w:tc>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corporativo</w:t>
            </w:r>
          </w:p>
        </w:tc>
      </w:tr>
      <w:tr>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3 días antes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Todos los usuarios</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Recordatorio con credenciales de acceso temporales y URL del sistema de producción.</w:t>
            </w:r>
          </w:p>
        </w:tc>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corporativo</w:t>
            </w:r>
          </w:p>
        </w:tc>
      </w:tr>
      <w:tr>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Día del despliegue 6 PM</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Todos los usuarios</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Aviso de que el sistema estará en mantenimiento a partir de las 10 PM. No usar el sistema antiguo.</w:t>
            </w:r>
          </w:p>
        </w:tc>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 WhatsApp grupos</w:t>
            </w:r>
          </w:p>
        </w:tc>
      </w:tr>
      <w:tr>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Durante despliegue</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Equipo técnico</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Actualizaciones cada 30 minutos sobre el progreso del despliegue.</w:t>
            </w:r>
          </w:p>
        </w:tc>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WhatsApp grupo técnico</w:t>
            </w:r>
          </w:p>
        </w:tc>
      </w:tr>
      <w:tr>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 finalizar despliegue</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Todos los usuarios</w:t>
            </w:r>
          </w:p>
        </w:tc>
        <w:tc>
          <w:tcPr>
            <w:tcW w:type="dxa" w:w="3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Confirmación de que el sistema está disponible. Link de acceso y guía de primer ingreso.</w:t>
            </w:r>
          </w:p>
        </w:tc>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 WhatsApp grupos</w:t>
            </w:r>
          </w:p>
        </w:tc>
      </w:tr>
      <w:tr>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48 horas después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Jefes de Área</w:t>
            </w:r>
          </w:p>
        </w:tc>
        <w:tc>
          <w:tcPr>
            <w:tcW w:type="dxa" w:w="3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Encuesta de satisfacción con el primer uso del sistema en producción.</w:t>
            </w:r>
          </w:p>
        </w:tc>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Google Forms por email</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7. SOPORTE POST-IMPLEMENTACIÓN</w:t>
      </w:r>
    </w:p>
    <w:p>
      <w:pPr>
        <w:pStyle w:val="Heading2"/>
        <w:spacing w:after="120" w:before="240"/>
      </w:pPr>
      <w:r>
        <w:rPr>
          <w:rFonts w:ascii="Arial" w:cs="Arial" w:eastAsia="Arial" w:hAnsi="Arial"/>
          <w:b/>
          <w:bCs/>
          <w:color w:val="2E5C99"/>
          <w:sz w:val="24"/>
          <w:szCs w:val="24"/>
        </w:rPr>
        <w:t xml:space="preserve">7.1 Niveles de Soporte (SLA contractual – 3 meses post-despliegue)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60"/>
        <w:gridCol w:w="1800"/>
        <w:gridCol w:w="180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Nivel</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Tipo de Incidente</w:t>
            </w:r>
          </w:p>
        </w:tc>
        <w:tc>
          <w:tcPr>
            <w:tcW w:type="dxa" w:w="2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Ejemplo</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Tiempo de Respuesta</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Tiempo de Resolución</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P1 – Crítico</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Sistema completamente inaccesible o pérdida de datos.</w:t>
            </w:r>
          </w:p>
        </w:tc>
        <w:tc>
          <w:tcPr>
            <w:tcW w:type="dxa" w:w="2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no carga para ningún usuario. Pérdida de registros en BD.</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30 minutos</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 horas</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P2 – Alto</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Funcionalidad crítica inoperable afecta operación del negocio.</w:t>
            </w:r>
          </w:p>
        </w:tc>
        <w:tc>
          <w:tcPr>
            <w:tcW w:type="dxa" w:w="2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módulo de flujos no ejecuta tareas. Login falla para todos los usuarios.</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2 horas</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8 horas hábiles</w:t>
            </w:r>
          </w:p>
        </w:tc>
      </w:tr>
      <w:tr>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P3 – Medio</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Funcionalidad no crítica con workaround disponible.</w:t>
            </w:r>
          </w:p>
        </w:tc>
        <w:tc>
          <w:tcPr>
            <w:tcW w:type="dxa" w:w="2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Un reporte no exporta a Excel. Un KPI del dashboard no actualiza.</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4 horas hábiles</w:t>
            </w:r>
          </w:p>
        </w:tc>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3 días hábiles</w:t>
            </w:r>
          </w:p>
        </w:tc>
      </w:tr>
      <w:tr>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P4 – Bajo</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Mejora estética o pregunta de uso. No afecta operación.</w:t>
            </w:r>
          </w:p>
        </w:tc>
        <w:tc>
          <w:tcPr>
            <w:tcW w:type="dxa" w:w="2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¿Cómo exporto en PDF? El color de un widget no coincide con el manual.</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1 día hábil</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5 días hábiles</w:t>
            </w:r>
          </w:p>
        </w:tc>
      </w:tr>
    </w:tbl>
    <w:p>
      <w:pPr>
        <w:pStyle w:val="Heading2"/>
        <w:spacing w:after="120" w:before="240"/>
      </w:pPr>
      <w:r>
        <w:rPr>
          <w:rFonts w:ascii="Arial" w:cs="Arial" w:eastAsia="Arial" w:hAnsi="Arial"/>
          <w:b/>
          <w:bCs/>
          <w:color w:val="2E5C99"/>
          <w:sz w:val="24"/>
          <w:szCs w:val="24"/>
        </w:rPr>
        <w:t xml:space="preserve">7.2 Canales de Soporte</w:t>
      </w:r>
    </w:p>
    <w:p>
      <w:pPr>
        <w:pStyle w:val="ListParagraph"/>
        <w:numPr>
          <w:ilvl w:val="0"/>
          <w:numId w:val="2"/>
        </w:numPr>
        <w:spacing w:after="80" w:before="40" w:line="260"/>
      </w:pPr>
      <w:r>
        <w:rPr>
          <w:rFonts w:ascii="Arial" w:cs="Arial" w:eastAsia="Arial" w:hAnsi="Arial"/>
          <w:color w:val="1A1A1A"/>
          <w:sz w:val="22"/>
          <w:szCs w:val="22"/>
        </w:rPr>
        <w:t xml:space="preserve">Email de soporte: soporte-siaia@nexusaisolutions.co (monitoreo L-V 7am-7pm, S 8am-1pm).</w:t>
      </w:r>
    </w:p>
    <w:p>
      <w:pPr>
        <w:pStyle w:val="ListParagraph"/>
        <w:numPr>
          <w:ilvl w:val="0"/>
          <w:numId w:val="2"/>
        </w:numPr>
        <w:spacing w:after="80" w:before="40" w:line="260"/>
      </w:pPr>
      <w:r>
        <w:rPr>
          <w:rFonts w:ascii="Arial" w:cs="Arial" w:eastAsia="Arial" w:hAnsi="Arial"/>
          <w:color w:val="1A1A1A"/>
          <w:sz w:val="22"/>
          <w:szCs w:val="22"/>
        </w:rPr>
        <w:t xml:space="preserve">Línea directa P1/P2: +57 315 XXX XXXX – Roberto Suárez (QA Lead) 24/7 durante los 30 primeros días.</w:t>
      </w:r>
    </w:p>
    <w:p>
      <w:pPr>
        <w:pStyle w:val="ListParagraph"/>
        <w:numPr>
          <w:ilvl w:val="0"/>
          <w:numId w:val="2"/>
        </w:numPr>
        <w:spacing w:after="80" w:before="40" w:line="260"/>
      </w:pPr>
      <w:r>
        <w:rPr>
          <w:rFonts w:ascii="Arial" w:cs="Arial" w:eastAsia="Arial" w:hAnsi="Arial"/>
          <w:color w:val="1A1A1A"/>
          <w:sz w:val="22"/>
          <w:szCs w:val="22"/>
        </w:rPr>
        <w:t xml:space="preserve">Portal de tickets: https://nexusai.atlassian.net/servicedesk/siaia (registro y seguimiento de incidentes).</w:t>
      </w:r>
    </w:p>
    <w:p>
      <w:pPr>
        <w:pStyle w:val="ListParagraph"/>
        <w:numPr>
          <w:ilvl w:val="0"/>
          <w:numId w:val="2"/>
        </w:numPr>
        <w:spacing w:after="80" w:before="40" w:line="260"/>
      </w:pPr>
      <w:r>
        <w:rPr>
          <w:rFonts w:ascii="Arial" w:cs="Arial" w:eastAsia="Arial" w:hAnsi="Arial"/>
          <w:color w:val="1A1A1A"/>
          <w:sz w:val="22"/>
          <w:szCs w:val="22"/>
        </w:rPr>
        <w:t xml:space="preserve">Documentación en línea: https://docs.siaia.nexusaisolutions.co (manuales, FAQs, videos tutoriales).</w:t>
      </w:r>
    </w:p>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PDI-IMP-005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Implementación  |  2025</w:t>
    </w:r>
    <w:r>
      <w:rPr>
        <w:rFonts w:ascii="Arial" w:cs="Arial" w:eastAsia="Arial" w:hAnsi="Arial"/>
        <w:b/>
        <w:bCs/>
        <w:color w:val="1B2A4A"/>
        <w:sz w:val="18"/>
        <w:szCs w:val="18"/>
      </w:rPr>
      <w:t xml:space="preserve">	Doc. 1 de 4 – Fase Implementación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Plan de Despliegue e Implementación</w:t>
    </w:r>
    <w:r>
      <w:rPr>
        <w:rFonts w:ascii="Arial" w:cs="Arial" w:eastAsia="Arial" w:hAnsi="Arial"/>
        <w:color w:val="2E5C99"/>
        <w:sz w:val="18"/>
        <w:szCs w:val="18"/>
      </w:rPr>
      <w:t xml:space="preserve">	PDI-IMP-005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2026-06-03T21:24:29.887Z</dcterms:created>
  <dcterms:modified xsi:type="dcterms:W3CDTF">2026-06-03T21:24:29.887Z</dcterms:modified>
</cp:coreProperties>
</file>

<file path=docProps/custom.xml><?xml version="1.0" encoding="utf-8"?>
<Properties xmlns="http://schemas.openxmlformats.org/officeDocument/2006/custom-properties" xmlns:vt="http://schemas.openxmlformats.org/officeDocument/2006/docPropsVTypes"/>
</file>