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6B3A" w:val="clear"/>
            <w:tcMar>
              <w:top w:type="dxa" w:w="440"/>
              <w:left w:type="dxa" w:w="500"/>
              <w:bottom w:type="dxa" w:w="440"/>
              <w:right w:type="dxa" w:w="500"/>
            </w:tcMar>
          </w:tcPr>
          <w:p>
            <w:pPr>
              <w:jc w:val="center"/>
            </w:pPr>
            <w:r>
              <w:rPr>
                <w:rFonts w:ascii="Arial" w:cs="Arial" w:eastAsia="Arial" w:hAnsi="Arial"/>
                <w:b/>
                <w:bCs/>
                <w:color w:val="FFFFFF"/>
                <w:sz w:val="38"/>
                <w:szCs w:val="38"/>
              </w:rPr>
              <w:t xml:space="preserve">MANUAL DE USUARIO FINAL</w:t>
            </w:r>
          </w:p>
          <w:p>
            <w:pPr>
              <w:spacing w:before="100"/>
              <w:jc w:val="center"/>
            </w:pPr>
            <w:r>
              <w:rPr>
                <w:rFonts w:ascii="Arial" w:cs="Arial" w:eastAsia="Arial" w:hAnsi="Arial"/>
                <w:i/>
                <w:iCs/>
                <w:color w:val="A8C4E5"/>
                <w:sz w:val="22"/>
                <w:szCs w:val="22"/>
              </w:rPr>
              <w:t xml:space="preserve">SistemaIA Pro – INNOVATEC COLOMBIA S.A.S.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Código</w:t>
            </w:r>
          </w:p>
        </w:tc>
        <w:tc>
          <w:tcPr>
            <w:tcW w:type="dxa" w:w="6560"/>
            <w:tcBorders>
              <w:top w:val="single" w:color="D0D7E3" w:sz="1"/>
              <w:left w:val="single" w:color="D0D7E3" w:sz="1"/>
              <w:bottom w:val="single" w:color="D0D7E3" w:sz="1"/>
              <w:right w:val="single" w:color="D0D7E3" w:sz="1"/>
            </w:tcBorders>
            <w:shd w:fill="2E5C99" w:val="clear"/>
            <w:tcMar>
              <w:top w:type="dxa" w:w="80"/>
              <w:left w:type="dxa" w:w="160"/>
              <w:bottom w:type="dxa" w:w="80"/>
              <w:right w:type="dxa" w:w="80"/>
            </w:tcMar>
          </w:tcPr>
          <w:p>
            <w:r>
              <w:rPr>
                <w:rFonts w:ascii="Arial" w:cs="Arial" w:eastAsia="Arial" w:hAnsi="Arial"/>
                <w:b/>
                <w:bCs/>
                <w:color w:val="FFFFFF"/>
                <w:sz w:val="20"/>
                <w:szCs w:val="20"/>
              </w:rPr>
              <w:t xml:space="preserve">MUF-IMP-006</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Versión</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1.0</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Fecha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15 de diciembre de 2025</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Elaborado por</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Diana Forero Gómez – Diseñadora UX/UI | María C. Vargas – QA Analyst</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Audiencia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Todos los usuarios finales de INNOVATEC COLOMBIA S.A.S.</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URL del Sistema</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https://siaia.innovatec.co</w:t>
            </w:r>
          </w:p>
        </w:tc>
      </w:tr>
      <w:tr>
        <w:tc>
          <w:tcPr>
            <w:tcW w:type="dxa" w:w="2800"/>
            <w:tcBorders>
              <w:top w:val="single" w:color="D0D7E3" w:sz="1"/>
              <w:left w:val="single" w:color="D0D7E3" w:sz="1"/>
              <w:bottom w:val="single" w:color="D0D7E3" w:sz="1"/>
              <w:right w:val="single" w:color="D0D7E3" w:sz="1"/>
            </w:tcBorders>
            <w:shd w:fill="F2F5FA" w:val="clear"/>
            <w:tcMar>
              <w:top w:type="dxa" w:w="80"/>
              <w:left w:type="dxa" w:w="160"/>
              <w:bottom w:type="dxa" w:w="80"/>
              <w:right w:type="dxa" w:w="80"/>
            </w:tcMar>
          </w:tcPr>
          <w:p>
            <w:r>
              <w:rPr>
                <w:rFonts w:ascii="Arial" w:cs="Arial" w:eastAsia="Arial" w:hAnsi="Arial"/>
                <w:b/>
                <w:bCs/>
                <w:color w:val="1B2A4A"/>
                <w:sz w:val="20"/>
                <w:szCs w:val="20"/>
              </w:rPr>
              <w:t xml:space="preserve">Soporte</w:t>
            </w:r>
          </w:p>
        </w:tc>
        <w:tc>
          <w:tcPr>
            <w:tcW w:type="dxa" w:w="656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80"/>
            </w:tcMar>
          </w:tcPr>
          <w:p>
            <w:r>
              <w:rPr>
                <w:rFonts w:ascii="Arial" w:cs="Arial" w:eastAsia="Arial" w:hAnsi="Arial"/>
                <w:b w:val="false"/>
                <w:bCs w:val="false"/>
                <w:color w:val="1A1A1A"/>
                <w:sz w:val="20"/>
                <w:szCs w:val="20"/>
              </w:rPr>
              <w:t xml:space="preserve">soporte-siaia@nexusaisolutions.co | +57 315 XXX XXXX</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1. BIENVENIDA AL SISTEMA SistemaIA Pro</w:t>
      </w:r>
    </w:p>
    <w:p>
      <w:pPr>
        <w:spacing w:after="100" w:before="60" w:line="280"/>
        <w:jc w:val="both"/>
      </w:pPr>
      <w:r>
        <w:rPr>
          <w:rFonts w:ascii="Arial" w:cs="Arial" w:eastAsia="Arial" w:hAnsi="Arial"/>
          <w:color w:val="1A1A1A"/>
          <w:sz w:val="22"/>
          <w:szCs w:val="22"/>
        </w:rPr>
        <w:t xml:space="preserve">Bienvenido(a) a SistemaIA Pro, el nuevo sistema inteligente de gestión de procesos de INNOVATEC COLOMBIA S.A.S. Este sistema utiliza Inteligencia Artificial para ayudarle a automatizar sus tareas, monitorear indicadores en tiempo real, analizar documentos automáticamente y recibir recomendaciones basadas en los datos de su área.</w:t>
      </w:r>
    </w:p>
    <w:p>
      <w:pPr>
        <w:spacing w:after="100" w:before="60" w:line="280"/>
        <w:jc w:val="both"/>
      </w:pPr>
      <w:r>
        <w:rPr>
          <w:rFonts w:ascii="Arial" w:cs="Arial" w:eastAsia="Arial" w:hAnsi="Arial"/>
          <w:color w:val="1A1A1A"/>
          <w:sz w:val="22"/>
          <w:szCs w:val="22"/>
        </w:rPr>
        <w:t xml:space="preserve">Este manual le guiará paso a paso en el uso de todas las funcionalidades del sistema. Si tiene preguntas adicionales, puede contactar al equipo de soporte en soporte-siaia@nexusaisolutions.co.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99" w:sz="1"/>
              <w:left w:val="single" w:color="2E5C99" w:sz="1"/>
              <w:bottom w:val="single" w:color="2E5C99" w:sz="1"/>
              <w:right w:val="single" w:color="2E5C99" w:sz="1"/>
            </w:tcBorders>
            <w:shd w:fill="DBEAFE" w:val="clear"/>
            <w:tcMar>
              <w:top w:type="dxa" w:w="100"/>
              <w:left w:type="dxa" w:w="200"/>
              <w:bottom w:type="dxa" w:w="100"/>
              <w:right w:type="dxa" w:w="200"/>
            </w:tcMar>
          </w:tcPr>
          <w:p>
            <w:r>
              <w:rPr>
                <w:rFonts w:ascii="Arial" w:cs="Arial" w:eastAsia="Arial" w:hAnsi="Arial"/>
                <w:i/>
                <w:iCs/>
                <w:color w:val="1A1A1A"/>
                <w:sz w:val="20"/>
                <w:szCs w:val="20"/>
              </w:rPr>
              <w:t xml:space="preserve">Consejo: Guarde este manual en su computador para consultarlo cuando lo necesite. También puede acceder a la versión en línea desde el botón de Ayuda (?) en el menú superior del sistema.</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2. PRIMER INGRESO AL SISTEMA</w:t>
      </w:r>
    </w:p>
    <w:p>
      <w:pPr>
        <w:pStyle w:val="Heading2"/>
        <w:spacing w:after="120" w:before="240"/>
      </w:pPr>
      <w:r>
        <w:rPr>
          <w:rFonts w:ascii="Arial" w:cs="Arial" w:eastAsia="Arial" w:hAnsi="Arial"/>
          <w:b/>
          <w:bCs/>
          <w:color w:val="2E5C99"/>
          <w:sz w:val="24"/>
          <w:szCs w:val="24"/>
        </w:rPr>
        <w:t xml:space="preserve">2.1 Configuración Inicial de su Cuenta</w:t>
      </w:r>
    </w:p>
    <w:p>
      <w:pPr>
        <w:spacing w:after="100" w:before="60" w:line="280"/>
        <w:jc w:val="both"/>
      </w:pPr>
      <w:r>
        <w:rPr>
          <w:rFonts w:ascii="Arial" w:cs="Arial" w:eastAsia="Arial" w:hAnsi="Arial"/>
          <w:color w:val="1A1A1A"/>
          <w:sz w:val="22"/>
          <w:szCs w:val="22"/>
        </w:rPr>
        <w:t xml:space="preserve">En su correo corporativo recibirá un email de bienvenida con el asunto: 'SistemaIA Pro – Activación de su cuenta'. Siga estos pasos para activarla: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Abrir el email de bienvenida y hacer clic en el botón 'Activar mi cuenta'.</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abre su navegador en la página de activación con su email precargado.</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Crear su contraseña personal. Debe tener: mínimo 8 caracteres, 1 mayúscula, 1 número y 1 símbolo especial.</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muestra un indicador de fortaleza de contraseña (Débil / Media / Fuerte). Debe ser Fuerte para continuar.</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Descargar la app Google Authenticator (Android/iOS) o Microsoft Authenticator en su celular.</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 app está disponible gratuitamente en Google Play y App Store.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el sistema, escanear el código QR que aparece en pantalla con la app autenticadora.</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 app mostrará un código de 6 dígitos que cambia cada 30 segundos. Este es su código de verificación MFA.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Ingresar el código de 6 dígitos de la app en el campo 'Código de verificación' del sistema.</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confirma la activación: '¡Configuración exitosa! Ahora puede ingresar al sistema.'</w:t>
            </w:r>
          </w:p>
        </w:tc>
      </w:tr>
    </w:tbl>
    <w:p>
      <w:pPr>
        <w:pStyle w:val="Heading2"/>
        <w:spacing w:after="120" w:before="240"/>
      </w:pPr>
      <w:r>
        <w:rPr>
          <w:rFonts w:ascii="Arial" w:cs="Arial" w:eastAsia="Arial" w:hAnsi="Arial"/>
          <w:b/>
          <w:bCs/>
          <w:color w:val="2E5C99"/>
          <w:sz w:val="24"/>
          <w:szCs w:val="24"/>
        </w:rPr>
        <w:t xml:space="preserve">2.2 Inicio de Sesión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Abrir su navegador (Chrome, Firefox o Edge) e ingresar: https://siaia.innovatec.co</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la pantalla de inicio de sesión con el logo de INNOVATEC y los campos de acceso.</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Escribir su correo corporativo y contraseña. Hacer clic en 'Ingresar'.</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valida sus datos y le solicita el código MFA.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Abrir la app autenticadora en su celular y copiar el código de 6 dígitos vigente.</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código tiene un contador regresivo. Si queda poco tiempo, espere al siguiente código.</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Ingresar el código en el campo 'Código de verificación' y hacer clic en 'Verificar'.</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le da acceso y lo dirige a su Dashboard personalizado.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FEF3C7" w:val="clear"/>
            <w:tcMar>
              <w:top w:type="dxa" w:w="100"/>
              <w:left w:type="dxa" w:w="200"/>
              <w:bottom w:type="dxa" w:w="100"/>
              <w:right w:type="dxa" w:w="200"/>
            </w:tcMar>
          </w:tcPr>
          <w:p>
            <w:r>
              <w:rPr>
                <w:rFonts w:ascii="Arial" w:cs="Arial" w:eastAsia="Arial" w:hAnsi="Arial"/>
                <w:i/>
                <w:iCs/>
                <w:color w:val="1A1A1A"/>
                <w:sz w:val="20"/>
                <w:szCs w:val="20"/>
              </w:rPr>
              <w:t xml:space="preserve">Importante: Si ingresa su contraseña incorrectamente 5 veces seguidas, su cuenta se bloqueará automáticamente por seguridad. Contacte al administrador de TI de INNOVATEC: Mauricio León – ti@innovateccolombia.com.co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3. NAVEGACIÓN GENERAL DEL SISTEMA</w:t>
      </w:r>
    </w:p>
    <w:p>
      <w:pPr>
        <w:pStyle w:val="Heading2"/>
        <w:spacing w:after="120" w:before="240"/>
      </w:pPr>
      <w:r>
        <w:rPr>
          <w:rFonts w:ascii="Arial" w:cs="Arial" w:eastAsia="Arial" w:hAnsi="Arial"/>
          <w:b/>
          <w:bCs/>
          <w:color w:val="2E5C99"/>
          <w:sz w:val="24"/>
          <w:szCs w:val="24"/>
        </w:rPr>
        <w:t xml:space="preserve">3.1 Elementos de la Interfaz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Elemento</w:t>
            </w:r>
          </w:p>
        </w:tc>
        <w:tc>
          <w:tcPr>
            <w:tcW w:type="dxa" w:w="69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Descripción y Uso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Menú lateral izquierdo</w:t>
            </w:r>
          </w:p>
        </w:tc>
        <w:tc>
          <w:tcPr>
            <w:tcW w:type="dxa" w:w="6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Acceso a todos los módulos del sistema: Dashboard, Flujos de Trabajo, Documentos, Analítica, Alertas, Reportes y Configuración. Puede colapsarse para tener más espacio.</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Barra superior</w:t>
            </w:r>
          </w:p>
        </w:tc>
        <w:tc>
          <w:tcPr>
            <w:tcW w:type="dxa" w:w="6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Muestra su nombre, área y rol. Contiene: notificaciones (campana), perfil (foto) y botón de cierre de sesión. El número en la campana indica alertas pendientes.</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Área de contenido central</w:t>
            </w:r>
          </w:p>
        </w:tc>
        <w:tc>
          <w:tcPr>
            <w:tcW w:type="dxa" w:w="6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Zona principal donde se muestra la información del módulo activo.</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Indicador de estado del sistema</w:t>
            </w:r>
          </w:p>
        </w:tc>
        <w:tc>
          <w:tcPr>
            <w:tcW w:type="dxa" w:w="6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Círculo verde en la esquina inferior izquierda: sistema funcionando normalmente. Amarillo: advertencia. Rojo: problema detectado.</w:t>
            </w:r>
          </w:p>
        </w:tc>
      </w:tr>
      <w:tr>
        <w:tc>
          <w:tcPr>
            <w:tcW w:type="dxa" w:w="2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Botón de Ayuda (?)</w:t>
            </w:r>
          </w:p>
        </w:tc>
        <w:tc>
          <w:tcPr>
            <w:tcW w:type="dxa" w:w="6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la esquina superior derecha de cada módulo. Abre la guía contextual del módulo activo.</w:t>
            </w:r>
          </w:p>
        </w:tc>
      </w:tr>
      <w:tr>
        <w:tc>
          <w:tcPr>
            <w:tcW w:type="dxa" w:w="2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Buscador global (lupa)</w:t>
            </w:r>
          </w:p>
        </w:tc>
        <w:tc>
          <w:tcPr>
            <w:tcW w:type="dxa" w:w="6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la barra superior. Busca en todo el sistema: documentos, tareas, reportes, usuarios.</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4. MÓDULO: DASHBOARD (PANEL DE CONTROL)</w:t>
      </w:r>
    </w:p>
    <w:p>
      <w:pPr>
        <w:spacing w:after="100" w:before="60" w:line="280"/>
        <w:jc w:val="both"/>
      </w:pPr>
      <w:r>
        <w:rPr>
          <w:rFonts w:ascii="Arial" w:cs="Arial" w:eastAsia="Arial" w:hAnsi="Arial"/>
          <w:color w:val="1A1A1A"/>
          <w:sz w:val="22"/>
          <w:szCs w:val="22"/>
        </w:rPr>
        <w:t xml:space="preserve">El Dashboard es su página de inicio. Muestra en tiempo real los indicadores más importantes de su área. Se actualiza automáticamente cada 30 segundos sin necesidad de recargar la página.</w:t>
      </w:r>
    </w:p>
    <w:p>
      <w:pPr>
        <w:pStyle w:val="Heading2"/>
        <w:spacing w:after="120" w:before="240"/>
      </w:pPr>
      <w:r>
        <w:rPr>
          <w:rFonts w:ascii="Arial" w:cs="Arial" w:eastAsia="Arial" w:hAnsi="Arial"/>
          <w:b/>
          <w:bCs/>
          <w:color w:val="2E5C99"/>
          <w:sz w:val="24"/>
          <w:szCs w:val="24"/>
        </w:rPr>
        <w:t xml:space="preserve">4.1 Entendiendo los Indicadores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Color del Indicador</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Significado</w:t>
            </w:r>
          </w:p>
        </w:tc>
        <w:tc>
          <w:tcPr>
            <w:tcW w:type="dxa" w:w="49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Recomendada</w:t>
            </w:r>
          </w:p>
        </w:tc>
      </w:tr>
      <w:tr>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Verde</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indicador está dentro de los valores esperados.</w:t>
            </w:r>
          </w:p>
        </w:tc>
        <w:tc>
          <w:tcPr>
            <w:tcW w:type="dxa" w:w="4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Ninguna acción requerida. El proceso va bien.</w:t>
            </w:r>
          </w:p>
        </w:tc>
      </w:tr>
      <w:tr>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Amarillo</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indicador está cerca del límite de alerta (80-99% del umbral).</w:t>
            </w:r>
          </w:p>
        </w:tc>
        <w:tc>
          <w:tcPr>
            <w:tcW w:type="dxa" w:w="4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Revisar la tendencia. Preparar acciones preventivas.</w:t>
            </w:r>
          </w:p>
        </w:tc>
      </w:tr>
      <w:tr>
        <w:tc>
          <w:tcPr>
            <w:tcW w:type="dxa" w:w="16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Rojo</w:t>
            </w:r>
          </w:p>
        </w:tc>
        <w:tc>
          <w:tcPr>
            <w:tcW w:type="dxa" w:w="28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indicador superó el umbral configurado. Requiere atención.</w:t>
            </w:r>
          </w:p>
        </w:tc>
        <w:tc>
          <w:tcPr>
            <w:tcW w:type="dxa" w:w="4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Tomar acción correctiva inmediata. El sistema habrá enviado una alerta.</w:t>
            </w:r>
          </w:p>
        </w:tc>
      </w:tr>
      <w:tr>
        <w:tc>
          <w:tcPr>
            <w:tcW w:type="dxa" w:w="16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Gris</w:t>
            </w:r>
          </w:p>
        </w:tc>
        <w:tc>
          <w:tcPr>
            <w:tcW w:type="dxa" w:w="2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No hay datos suficientes para calcular el indicador.</w:t>
            </w:r>
          </w:p>
        </w:tc>
        <w:tc>
          <w:tcPr>
            <w:tcW w:type="dxa" w:w="4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Verificar que los procesos relacionados están registrando datos.</w:t>
            </w:r>
          </w:p>
        </w:tc>
      </w:tr>
    </w:tbl>
    <w:p>
      <w:pPr>
        <w:pStyle w:val="Heading2"/>
        <w:spacing w:after="120" w:before="240"/>
      </w:pPr>
      <w:r>
        <w:rPr>
          <w:rFonts w:ascii="Arial" w:cs="Arial" w:eastAsia="Arial" w:hAnsi="Arial"/>
          <w:b/>
          <w:bCs/>
          <w:color w:val="2E5C99"/>
          <w:sz w:val="24"/>
          <w:szCs w:val="24"/>
        </w:rPr>
        <w:t xml:space="preserve">4.2 Personalizar su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el botón 'Editar Dashboard' (icono de lápiz) en la esquina superior derecha del dashboard.</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dashboard entra en modo de edición: los widgets muestran bordes punteados y aparecen controles.</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Para mover un widget: hacer clic sostenido sobre él y arrastrarlo a la nueva posición.</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widget sigue el cursor. Las otras fichas se reorganizan automáticamente.</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Para agregar un widget: hacer clic en '+ Agregar widget' y seleccionar el indicador deseado de la lista.</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un nuevo widget con datos en tiempo real en la posición disponible.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Para eliminar un widget: hacer clic en la X que aparece en la esquina superior del widget.</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widget desaparece y el espacio es ocupado por los demás.</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'Guardar configuración' cuando termine de personalizar.</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dashboard se guarda con su configuración personal. Se mantiene así en todos sus ingresos.</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5. MÓDULO: FLUJOS DE TRABAJO</w:t>
      </w:r>
    </w:p>
    <w:p>
      <w:pPr>
        <w:pStyle w:val="Heading2"/>
        <w:spacing w:after="120" w:before="240"/>
      </w:pPr>
      <w:r>
        <w:rPr>
          <w:rFonts w:ascii="Arial" w:cs="Arial" w:eastAsia="Arial" w:hAnsi="Arial"/>
          <w:b/>
          <w:bCs/>
          <w:color w:val="2E5C99"/>
          <w:sz w:val="24"/>
          <w:szCs w:val="24"/>
        </w:rPr>
        <w:t xml:space="preserve">5.1 Ver y Gestionar Mis Tareas</w:t>
      </w:r>
    </w:p>
    <w:p>
      <w:pPr>
        <w:spacing w:after="100" w:before="60" w:line="280"/>
        <w:jc w:val="both"/>
      </w:pPr>
      <w:r>
        <w:rPr>
          <w:rFonts w:ascii="Arial" w:cs="Arial" w:eastAsia="Arial" w:hAnsi="Arial"/>
          <w:color w:val="1A1A1A"/>
          <w:sz w:val="22"/>
          <w:szCs w:val="22"/>
        </w:rPr>
        <w:t xml:space="preserve">En la sección 'Mis Tareas' verá todas las actividades que le han sido asignadas dentro de los flujos de trabajo activos de su área, ordenadas por urgencia (tiempo restante del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'Flujos de Trabajo' en el menú lateral, luego en 'Mis Tareas'.</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la lista de tareas pendientes con: nombre, proceso al que pertenece, asignador y tiempo restante.</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el nombre de una tarea para abrirla.</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muestra el detalle: descripción, instrucciones, documentos adjuntos requeridos y campo de observaciones.</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Completar las acciones requeridas por la tarea. Si es necesario, adjuntar documentos (botón 'Adjuntar archivo').</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Los archivos se cargan directamente al sistema. Formatos aceptados: PDF, Word, Excel, imágenes.</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'Marcar como completada' cuando haya terminado la tarea.</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 tarea desaparece de su lista. El siguiente responsable en el flujo recibe automáticamente su notificación.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B3A" w:sz="1"/>
              <w:left w:val="single" w:color="1D6B3A" w:sz="1"/>
              <w:bottom w:val="single" w:color="1D6B3A" w:sz="1"/>
              <w:right w:val="single" w:color="1D6B3A" w:sz="1"/>
            </w:tcBorders>
            <w:shd w:fill="D1FAE5" w:val="clear"/>
            <w:tcMar>
              <w:top w:type="dxa" w:w="100"/>
              <w:left w:type="dxa" w:w="200"/>
              <w:bottom w:type="dxa" w:w="100"/>
              <w:right w:type="dxa" w:w="200"/>
            </w:tcMar>
          </w:tcPr>
          <w:p>
            <w:r>
              <w:rPr>
                <w:rFonts w:ascii="Arial" w:cs="Arial" w:eastAsia="Arial" w:hAnsi="Arial"/>
                <w:i/>
                <w:iCs/>
                <w:color w:val="1A1A1A"/>
                <w:sz w:val="20"/>
                <w:szCs w:val="20"/>
              </w:rPr>
              <w:t xml:space="preserve">Recuerde: Si no puede completar una tarea antes de que venza su SLA, use el botón 'Escalar' para notificar a su jefe de área con una explicación. Es mejor escalar que dejar vencer el tiempo.</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6. MÓDULO: DOCUMENTOS (NLP)</w:t>
      </w:r>
    </w:p>
    <w:p>
      <w:pPr>
        <w:pStyle w:val="Heading2"/>
        <w:spacing w:after="120" w:before="240"/>
      </w:pPr>
      <w:r>
        <w:rPr>
          <w:rFonts w:ascii="Arial" w:cs="Arial" w:eastAsia="Arial" w:hAnsi="Arial"/>
          <w:b/>
          <w:bCs/>
          <w:color w:val="2E5C99"/>
          <w:sz w:val="24"/>
          <w:szCs w:val="24"/>
        </w:rPr>
        <w:t xml:space="preserve">6.1 Cargar y Clasificar un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'Documentos' en el menú lateral, luego en 'Cargar documento'.</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abre el panel de carga con zona de arrastrar y soltar (drag &amp; drop).</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Arrastrar el documento (PDF, Word o Excel) a la zona de carga, o hacer clic en 'Seleccionar archivo'.</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archivo aparece en la cola de carga con su nombre y tamaño.</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'Cargar y clasificar'. El sistema procesará el documento con IA.</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una barra de progreso. Tiempo estimado: 10-60 segundos según el tamaño del documento.</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Revisar la clasificación sugerida por el sistema (categoría, etiquetas y entidades extraídas).</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muestra: categoría asignada (ej: 'Contrato de proveedor'), entidades (NIT, fechas, montos) y nivel de confianza.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Si la clasificación es correcta, hacer clic en 'Confirmar'. Si no, seleccionar la categoría correcta del desplegable.</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documento queda guardado con la clasificación final. Su feedback mejora el modelo IA para futuras clasificaciones.</w:t>
            </w:r>
          </w:p>
        </w:tc>
      </w:tr>
    </w:tbl>
    <w:p>
      <w:pPr>
        <w:pStyle w:val="Heading2"/>
        <w:spacing w:after="120" w:before="240"/>
      </w:pPr>
      <w:r>
        <w:rPr>
          <w:rFonts w:ascii="Arial" w:cs="Arial" w:eastAsia="Arial" w:hAnsi="Arial"/>
          <w:b/>
          <w:bCs/>
          <w:color w:val="2E5C99"/>
          <w:sz w:val="24"/>
          <w:szCs w:val="24"/>
        </w:rPr>
        <w:t xml:space="preserve">6.2 Buscar Documentos con Lenguaje Natural</w:t>
      </w:r>
    </w:p>
    <w:p>
      <w:pPr>
        <w:spacing w:after="100" w:before="60" w:line="280"/>
        <w:jc w:val="both"/>
      </w:pPr>
      <w:r>
        <w:rPr>
          <w:rFonts w:ascii="Arial" w:cs="Arial" w:eastAsia="Arial" w:hAnsi="Arial"/>
          <w:color w:val="1A1A1A"/>
          <w:sz w:val="22"/>
          <w:szCs w:val="22"/>
        </w:rPr>
        <w:t xml:space="preserve">El buscador de documentos entiende el significado de su consulta, no solo palabras exactas. Escriba lo que necesita en lenguaje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En lugar de escribir...</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Puede escribir...</w:t>
            </w:r>
          </w:p>
        </w:tc>
        <w:tc>
          <w:tcPr>
            <w:tcW w:type="dxa" w:w="43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El sistema encontrará...</w:t>
            </w:r>
          </w:p>
        </w:tc>
      </w:tr>
      <w:tr>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'contrato proveedor software 2024'</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2E5C99"/>
                <w:sz w:val="20"/>
                <w:szCs w:val="20"/>
              </w:rPr>
              <w:t xml:space="preserve">'acuerdos con empresas de tecnología del año pasado'</w:t>
            </w:r>
          </w:p>
        </w:tc>
        <w:tc>
          <w:tcPr>
            <w:tcW w:type="dxa" w:w="4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Todos los contratos de servicios tecnológicos del año 2024.</w:t>
            </w:r>
          </w:p>
        </w:tc>
      </w:tr>
      <w:tr>
        <w:tc>
          <w:tcPr>
            <w:tcW w:type="dxa" w:w="3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'factura NIT 900876543'</w:t>
            </w:r>
          </w:p>
        </w:tc>
        <w:tc>
          <w:tcPr>
            <w:tcW w:type="dxa" w:w="20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2E5C99"/>
                <w:sz w:val="20"/>
                <w:szCs w:val="20"/>
              </w:rPr>
              <w:t xml:space="preserve">'facturas de NEXUS de este año'</w:t>
            </w:r>
          </w:p>
        </w:tc>
        <w:tc>
          <w:tcPr>
            <w:tcW w:type="dxa" w:w="43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Todas las facturas emitidas por NEXUS AI SOLUTIONS en 2025.</w:t>
            </w:r>
          </w:p>
        </w:tc>
      </w:tr>
      <w:tr>
        <w:tc>
          <w:tcPr>
            <w:tcW w:type="dxa" w:w="3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'acta reunion operaciones octubre'</w:t>
            </w:r>
          </w:p>
        </w:tc>
        <w:tc>
          <w:tcPr>
            <w:tcW w:type="dxa" w:w="20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2E5C99"/>
                <w:sz w:val="20"/>
                <w:szCs w:val="20"/>
              </w:rPr>
              <w:t xml:space="preserve">'reuniones del equipo de operaciones en octubre'</w:t>
            </w:r>
          </w:p>
        </w:tc>
        <w:tc>
          <w:tcPr>
            <w:tcW w:type="dxa" w:w="43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Actas de reunión del área de Operaciones de octubre 2025.</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7. MÓDULO: ANALÍTICA E INTELIGENCIA ARTIFICIAL</w:t>
      </w:r>
    </w:p>
    <w:p>
      <w:pPr>
        <w:pStyle w:val="Heading2"/>
        <w:spacing w:after="120" w:before="240"/>
      </w:pPr>
      <w:r>
        <w:rPr>
          <w:rFonts w:ascii="Arial" w:cs="Arial" w:eastAsia="Arial" w:hAnsi="Arial"/>
          <w:b/>
          <w:bCs/>
          <w:color w:val="2E5C99"/>
          <w:sz w:val="24"/>
          <w:szCs w:val="24"/>
        </w:rPr>
        <w:t xml:space="preserve">7.1 Consultar Predicciones de su Área</w:t>
      </w:r>
    </w:p>
    <w:p>
      <w:pPr>
        <w:spacing w:after="100" w:before="60" w:line="280"/>
        <w:jc w:val="both"/>
      </w:pPr>
      <w:r>
        <w:rPr>
          <w:rFonts w:ascii="Arial" w:cs="Arial" w:eastAsia="Arial" w:hAnsi="Arial"/>
          <w:color w:val="1A1A1A"/>
          <w:sz w:val="22"/>
          <w:szCs w:val="22"/>
        </w:rPr>
        <w:t xml:space="preserve">La sección de Analítica muestra las predicciones generadas por el sistema de IA basadas en el histórico de datos de su área. Las predicciones se actualizan automáticamente cada semana con los datos más recientes.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'Analítica' en el menú lateral, luego en 'Predicciones'.</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el panel con las categorías de predicción disponibles para su área.</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Seleccionar la categoría de interés (ej: 'Demanda de solicitudes', 'Carga de trabajo del equipo').</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 muestra la gráfica histórica y la predicción para las próximas 4 semanas con bandas de confianza.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cualquier punto de la predicción para ver el detalle de esa semana.</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muestra: valor predicho, rango mínimo-máximo, y los 3 factores que más influyen.</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'Explicación en lenguaje simple' para entender la predicción sin términos técnicos.</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un texto en lenguaje cotidiano explicando la predicción y la recomendación de acción.</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8. MÓDULO: REPORTES</w:t>
      </w:r>
    </w:p>
    <w:p>
      <w:pPr>
        <w:pStyle w:val="Heading2"/>
        <w:spacing w:after="120" w:before="240"/>
      </w:pPr>
      <w:r>
        <w:rPr>
          <w:rFonts w:ascii="Arial" w:cs="Arial" w:eastAsia="Arial" w:hAnsi="Arial"/>
          <w:b/>
          <w:bCs/>
          <w:color w:val="2E5C99"/>
          <w:sz w:val="24"/>
          <w:szCs w:val="24"/>
        </w:rPr>
        <w:t xml:space="preserve">8.1 Generar un Reporte de su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Paso</w:t>
            </w:r>
          </w:p>
        </w:tc>
        <w:tc>
          <w:tcPr>
            <w:tcW w:type="dxa" w:w="3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Acción del Usuario</w:t>
            </w:r>
          </w:p>
        </w:tc>
        <w:tc>
          <w:tcPr>
            <w:tcW w:type="dxa" w:w="548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Lo que verá en pantalla</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1</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'Reportes' en el menú, luego en 'Nuevo Reporte'.</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el configurador de reportes con plantillas predefinidas por área.</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2</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Seleccionar la plantilla (ej: 'Productividad mensual', 'Estado de procesos', 'KPIs ejecutivos').</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 plantilla se precarga con los KPIs más relevantes de su área para el período seleccionado.</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3</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Seleccionar el período: semana, mes, trimestre o personalizado con fechas específicas.</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Los datos del dashboard se cargan automáticamente para el período seleccionado.</w:t>
            </w:r>
          </w:p>
        </w:tc>
      </w:tr>
      <w:tr>
        <w:tc>
          <w:tcPr>
            <w:tcW w:type="dxa" w:w="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4</w:t>
            </w:r>
          </w:p>
        </w:tc>
        <w:tc>
          <w:tcPr>
            <w:tcW w:type="dxa" w:w="3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'Generar reporte'. Esperar máximo 2 minutos.</w:t>
            </w:r>
          </w:p>
        </w:tc>
        <w:tc>
          <w:tcPr>
            <w:tcW w:type="dxa" w:w="548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Aparece la vista previa del reporte con gráficas y tablas formateadas.</w:t>
            </w:r>
          </w:p>
        </w:tc>
      </w:tr>
      <w:tr>
        <w:tc>
          <w:tcPr>
            <w:tcW w:type="dxa" w:w="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center"/>
            </w:pPr>
            <w:r>
              <w:rPr>
                <w:rFonts w:ascii="Arial" w:cs="Arial" w:eastAsia="Arial" w:hAnsi="Arial"/>
                <w:b/>
                <w:bCs/>
                <w:color w:val="1A1A1A"/>
                <w:sz w:val="20"/>
                <w:szCs w:val="20"/>
              </w:rPr>
              <w:t xml:space="preserve">5</w:t>
            </w:r>
          </w:p>
        </w:tc>
        <w:tc>
          <w:tcPr>
            <w:tcW w:type="dxa" w:w="3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Hacer clic en 'Exportar' y seleccionar el formato: PDF o Excel.</w:t>
            </w:r>
          </w:p>
        </w:tc>
        <w:tc>
          <w:tcPr>
            <w:tcW w:type="dxa" w:w="548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archivo se descarga automáticamente en su computador en menos de 30 segundos.</w:t>
            </w:r>
          </w:p>
        </w:tc>
      </w:tr>
    </w:tbl>
    <w:p>
      <w:pPr>
        <w:spacing w:after="60" w:before="0"/>
      </w:pPr>
      <w:r>
        <w:t xml:space="preserve"/>
      </w:r>
    </w:p>
    <w:p>
      <w:pPr>
        <w:pStyle w:val="Heading1"/>
        <w:pBdr>
          <w:bottom w:val="single" w:color="2E5C99" w:sz="8" w:space="4"/>
        </w:pBdr>
        <w:spacing w:after="160" w:before="320"/>
      </w:pPr>
      <w:r>
        <w:rPr>
          <w:rFonts w:ascii="Arial" w:cs="Arial" w:eastAsia="Arial" w:hAnsi="Arial"/>
          <w:b/>
          <w:bCs/>
          <w:color w:val="1B2A4A"/>
          <w:sz w:val="30"/>
          <w:szCs w:val="30"/>
        </w:rPr>
        <w:t xml:space="preserve">9. PREGUNTAS FRECUENTES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Pregunta</w:t>
            </w:r>
          </w:p>
        </w:tc>
        <w:tc>
          <w:tcPr>
            <w:tcW w:type="dxa" w:w="5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Respuesta</w:t>
            </w:r>
          </w:p>
        </w:tc>
      </w:tr>
      <w:tr>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¿Qué hago si olvidé mi contraseña?</w:t>
            </w:r>
          </w:p>
        </w:tc>
        <w:tc>
          <w:tcPr>
            <w:tcW w:type="dxa" w:w="5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En la pantalla de login, hacer clic en '¿Olvidó su contraseña?'. El sistema le enviará un enlace de restablecimiento a su correo corporativo. El enlace expira en 15 minutos.</w:t>
            </w:r>
          </w:p>
        </w:tc>
      </w:tr>
      <w:tr>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¿Qué hago si perdí acceso a mi app autenticadora?</w:t>
            </w:r>
          </w:p>
        </w:tc>
        <w:tc>
          <w:tcPr>
            <w:tcW w:type="dxa" w:w="5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Contacte inmediatamente al administrador TI (Mauricio León – ti@innovateccolombia.com.co). Tendrá un código de respaldo de emergencia para acceso único.</w:t>
            </w:r>
          </w:p>
        </w:tc>
      </w:tr>
      <w:tr>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¿Puedo usar el sistema desde mi celular?</w:t>
            </w:r>
          </w:p>
        </w:tc>
        <w:tc>
          <w:tcPr>
            <w:tcW w:type="dxa" w:w="5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Sí. El sistema funciona en el navegador del celular (Chrome o Safari). Ingrese a https://siaia.innovatec.co. La interfaz se adapta automáticamente al tamaño de la pantalla.</w:t>
            </w:r>
          </w:p>
        </w:tc>
      </w:tr>
      <w:tr>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¿Cada cuánto se actualizan las predicciones de IA?</w:t>
            </w:r>
          </w:p>
        </w:tc>
        <w:tc>
          <w:tcPr>
            <w:tcW w:type="dxa" w:w="5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Las predicciones se recalculan automáticamente cada lunes antes de las 6am con los datos de la semana anterior.</w:t>
            </w:r>
          </w:p>
        </w:tc>
      </w:tr>
      <w:tr>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¿Puedo descargar mis tareas sin conexión?</w:t>
            </w:r>
          </w:p>
        </w:tc>
        <w:tc>
          <w:tcPr>
            <w:tcW w:type="dxa" w:w="5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No. El sistema requiere conexión a internet para funcionar. Si no tiene conexión, no puede acceder al sistema.</w:t>
            </w:r>
          </w:p>
        </w:tc>
      </w:tr>
      <w:tr>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¿Quién puede ver mis documentos cargados?</w:t>
            </w:r>
          </w:p>
        </w:tc>
        <w:tc>
          <w:tcPr>
            <w:tcW w:type="dxa" w:w="5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Solo los usuarios con permiso de su área pueden ver sus documentos. Los documentos marcados como 'Confidencial' solo son visibles para usted y su jefe de área.</w:t>
            </w:r>
          </w:p>
        </w:tc>
      </w:tr>
      <w:tr>
        <w:tc>
          <w:tcPr>
            <w:tcW w:type="dxa" w:w="396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bCs/>
                <w:color w:val="1A1A1A"/>
                <w:sz w:val="20"/>
                <w:szCs w:val="20"/>
              </w:rPr>
              <w:t xml:space="preserve">¿Puedo cambiar el idioma del sistema?</w:t>
            </w:r>
          </w:p>
        </w:tc>
        <w:tc>
          <w:tcPr>
            <w:tcW w:type="dxa" w:w="5400"/>
            <w:tcBorders>
              <w:top w:val="single" w:color="D0D7E3" w:sz="1"/>
              <w:left w:val="single" w:color="D0D7E3" w:sz="1"/>
              <w:bottom w:val="single" w:color="D0D7E3" w:sz="1"/>
              <w:right w:val="single" w:color="D0D7E3" w:sz="1"/>
            </w:tcBorders>
            <w:shd w:fill="F2F5FA"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El sistema está disponible únicamente en español. Próximas versiones incluirán inglés y portugués.</w:t>
            </w:r>
          </w:p>
        </w:tc>
      </w:tr>
      <w:tr>
        <w:tc>
          <w:tcPr>
            <w:tcW w:type="dxa" w:w="39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bCs/>
                <w:color w:val="1A1A1A"/>
                <w:sz w:val="20"/>
                <w:szCs w:val="20"/>
              </w:rPr>
              <w:t xml:space="preserve">¿Qué navegadores son compatibles?</w:t>
            </w:r>
          </w:p>
        </w:tc>
        <w:tc>
          <w:tcPr>
            <w:tcW w:type="dxa" w:w="54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80"/>
            </w:tcMar>
          </w:tcPr>
          <w:p>
            <w:pPr>
              <w:jc w:val="left"/>
            </w:pPr>
            <w:r>
              <w:rPr>
                <w:rFonts w:ascii="Arial" w:cs="Arial" w:eastAsia="Arial" w:hAnsi="Arial"/>
                <w:b w:val="false"/>
                <w:bCs w:val="false"/>
                <w:color w:val="1A1A1A"/>
                <w:sz w:val="20"/>
                <w:szCs w:val="20"/>
              </w:rPr>
              <w:t xml:space="preserve">Chrome 100+, Firefox 100+, Edge 100+ y Safari 15+. No se garantiza compatibilidad con Internet Explorer.</w:t>
            </w:r>
          </w:p>
        </w:tc>
      </w:tr>
    </w:tbl>
    <w:p>
      <w:pPr>
        <w:spacing w:after="60" w:before="0"/>
      </w:pPr>
      <w:r>
        <w:t xml:space="preserve"/>
      </w:r>
    </w:p>
    <w:p>
      <w:pPr>
        <w:spacing w:after="60" w:before="0"/>
      </w:pPr>
      <w:r>
        <w:t xml:space="preserve"/>
      </w:r>
    </w:p>
    <w:p>
      <w:pPr>
        <w:spacing w:before="200"/>
        <w:jc w:val="center"/>
      </w:pPr>
      <w:r>
        <w:rPr>
          <w:rFonts w:ascii="Arial" w:cs="Arial" w:eastAsia="Arial" w:hAnsi="Arial"/>
          <w:i/>
          <w:iCs/>
          <w:color w:val="555555"/>
          <w:sz w:val="20"/>
          <w:szCs w:val="20"/>
        </w:rPr>
        <w:t xml:space="preserve">— Fin del Documento MUF-IMP-006 —</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9" w:sz="4" w:space="2"/>
      </w:pBdr>
      <w:tabs>
        <w:tab w:val="right" w:pos="9026"/>
      </w:tabs>
      <w:spacing w:before="80"/>
    </w:pPr>
    <w:r>
      <w:rPr>
        <w:rFonts w:ascii="Arial" w:cs="Arial" w:eastAsia="Arial" w:hAnsi="Arial"/>
        <w:color w:val="555555"/>
        <w:sz w:val="18"/>
        <w:szCs w:val="18"/>
      </w:rPr>
      <w:t xml:space="preserve">SistemaIA Pro – NEXUS AI SOLUTIONS S.A.S.  |  Fase de Implementación  |  2025</w:t>
    </w:r>
    <w:r>
      <w:rPr>
        <w:rFonts w:ascii="Arial" w:cs="Arial" w:eastAsia="Arial" w:hAnsi="Arial"/>
        <w:b/>
        <w:bCs/>
        <w:color w:val="1B2A4A"/>
        <w:sz w:val="18"/>
        <w:szCs w:val="18"/>
      </w:rPr>
      <w:t xml:space="preserve">	Doc. 2 de 4 – Fase Implementación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99" w:sz="4" w:space="2"/>
      </w:pBdr>
      <w:tabs>
        <w:tab w:val="right" w:pos="9026"/>
      </w:tabs>
      <w:spacing w:after="80"/>
    </w:pPr>
    <w:r>
      <w:rPr>
        <w:rFonts w:ascii="Arial" w:cs="Arial" w:eastAsia="Arial" w:hAnsi="Arial"/>
        <w:b/>
        <w:bCs/>
        <w:color w:val="1B2A4A"/>
        <w:sz w:val="18"/>
        <w:szCs w:val="18"/>
      </w:rPr>
      <w:t xml:space="preserve">INNOVATEC COLOMBIA S.A.S.  |  Manual de Usuario Final</w:t>
    </w:r>
    <w:r>
      <w:rPr>
        <w:rFonts w:ascii="Arial" w:cs="Arial" w:eastAsia="Arial" w:hAnsi="Arial"/>
        <w:color w:val="2E5C99"/>
        <w:sz w:val="18"/>
        <w:szCs w:val="18"/>
      </w:rPr>
      <w:t xml:space="preserve">	MUF-IMP-006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2026-06-03T21:24:30.154Z</dcterms:created>
  <dcterms:modified xsi:type="dcterms:W3CDTF">2026-06-03T21:24:30.154Z</dcterms:modified>
</cp:coreProperties>
</file>

<file path=docProps/custom.xml><?xml version="1.0" encoding="utf-8"?>
<Properties xmlns="http://schemas.openxmlformats.org/officeDocument/2006/custom-properties" xmlns:vt="http://schemas.openxmlformats.org/officeDocument/2006/docPropsVTypes"/>
</file>