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440"/>
              <w:left w:type="dxa" w:w="500"/>
              <w:bottom w:type="dxa" w:w="440"/>
              <w:right w:type="dxa" w:w="500"/>
            </w:tcMar>
          </w:tcPr>
          <w:p>
            <w:pPr>
              <w:jc w:val="center"/>
            </w:pPr>
            <w:r>
              <w:rPr>
                <w:rFonts w:ascii="Arial" w:cs="Arial" w:eastAsia="Arial" w:hAnsi="Arial"/>
                <w:b/>
                <w:bCs/>
                <w:color w:val="FFFFFF"/>
                <w:sz w:val="38"/>
                <w:szCs w:val="38"/>
              </w:rPr>
              <w:t xml:space="preserve">ACTA DE ENTREGA Y CIERRE DEL PROYECTO</w:t>
            </w:r>
          </w:p>
          <w:p>
            <w:pPr>
              <w:spacing w:before="100"/>
              <w:jc w:val="center"/>
            </w:pPr>
            <w:r>
              <w:rPr>
                <w:rFonts w:ascii="Arial" w:cs="Arial" w:eastAsia="Arial" w:hAnsi="Arial"/>
                <w:i/>
                <w:iCs/>
                <w:color w:val="A8C4E5"/>
                <w:sz w:val="22"/>
                <w:szCs w:val="22"/>
              </w:rPr>
              <w:t xml:space="preserve">SistemaIA Pro – CON-IA-2025-001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AEC-IMP-008</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 de Elaboración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16 de enero de 2026</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Contrato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CON-IA-2025-001</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Contratante</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INNOVATEC COLOMBIA S.A.S. – NIT 901.234.567-8</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Contratista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NEXUS AI SOLUTIONS S.A.S. – NIT 900.876.543-1</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 de Inicio del Proyecto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15 de julio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 de Finalización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15 de enero de 2026</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Estado del Proyecto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CERRADO EXITOSAMENTE</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1. RESUMEN EJECUTIVO DEL PROYECTO</w:t>
      </w:r>
    </w:p>
    <w:p>
      <w:pPr>
        <w:spacing w:after="100" w:before="60" w:line="280"/>
        <w:jc w:val="both"/>
      </w:pPr>
      <w:r>
        <w:rPr>
          <w:rFonts w:ascii="Arial" w:cs="Arial" w:eastAsia="Arial" w:hAnsi="Arial"/>
          <w:color w:val="1A1A1A"/>
          <w:sz w:val="22"/>
          <w:szCs w:val="22"/>
        </w:rPr>
        <w:t xml:space="preserve">El proyecto de desarrollo e implementación del sistema SistemaIA Pro para INNOVATEC COLOMBIA S.A.S. ha concluido satisfactoriamente. Durante los seis (6) meses de ejecución, NEXUS AI SOLUTIONS S.A.S. desarrolló, probó e implementó un aplicativo de software con Inteligencia Artificial que transforma la gestión de procesos empresariales de INNOVATEC, cumpliendo con el 100% de los requerimientos funcionales de alta prioridad y el 95% del total de requerimientos acordados en el contrato.</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2. ENTREGABLES COMPLETADOS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760"/>
        <w:gridCol w:w="1600"/>
        <w:gridCol w:w="80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w:t>
            </w:r>
          </w:p>
        </w:tc>
        <w:tc>
          <w:tcPr>
            <w:tcW w:type="dxa" w:w="3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Entregable</w:t>
            </w:r>
          </w:p>
        </w:tc>
        <w:tc>
          <w:tcPr>
            <w:tcW w:type="dxa" w:w="2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Documento de Referencia</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Fecha Entrega</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Estado</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Documento de Análisis y Requerimientos (SRS)</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SRS-IA-002</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12 ago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Documento de Visión y Alcance</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VIS-IA-001</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jul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Catálogo de Casos de Uso</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CU-IA-003</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29 jul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Matriz de Trazabilidad de Requerimientos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MTR-IA-004</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ago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Plan de Gestión de Requerimientos</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PGR-IA-005</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jul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6</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Documento de Arquitectura de Software</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SAD-DEV-001</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22 jul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7</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Estándares y Convenciones de Codificación</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ECC-DEV-002</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22 jul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8</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Registro de Decisiones de Arquitectura (ADR)</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ADR-DEV-003</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22 jul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9</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Manual Técnico del Sistema</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MTS-DEV-004</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nov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10</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Plan de Pruebas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PT-QA-001</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sep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11</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Catálogo de Casos de Prueba</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CP-QA-002</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8 sep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12</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Reportes de Ejecución de Pruebas (Sprints 1-5)</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RE-QA-003</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30 nov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13</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Reporte de Defectos (Bug Reports)</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BR-QA-004</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Continuo</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14</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Plan y Resultado de Pruebas UAT</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UAT-QA-005</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dic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15</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Plan de Despliegue e Implementación</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PDI-IMP-005</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dic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16</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Manual de Usuario Final</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MUF-IMP-006</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dic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17</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Manual del Administrador del Sistema</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MAD-IMP-007</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dic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18</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Sistema SistemaIA Pro en producción (URL)</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https://siaia.innovatec.co</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dic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19</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Código fuente completo en repositorio Git</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github.com/nexusai/siaia-pro</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ene 2026</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20</w:t>
            </w:r>
          </w:p>
        </w:tc>
        <w:tc>
          <w:tcPr>
            <w:tcW w:type="dxa" w:w="3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Modelos ML entrenados y documentados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Servidor S3 – s3://siaia-modelos-ml/</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dic 2025</w:t>
            </w:r>
          </w:p>
        </w:tc>
        <w:tc>
          <w:tcPr>
            <w:tcW w:type="dxa" w:w="800"/>
            <w:tcBorders>
              <w:top w:val="single" w:color="D0D7E3" w:sz="1"/>
              <w:left w:val="single" w:color="D0D7E3" w:sz="1"/>
              <w:bottom w:val="single" w:color="D0D7E3" w:sz="1"/>
              <w:right w:val="single" w:color="D0D7E3" w:sz="1"/>
            </w:tcBorders>
            <w:shd w:fill="FFFFFF"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21</w:t>
            </w:r>
          </w:p>
        </w:tc>
        <w:tc>
          <w:tcPr>
            <w:tcW w:type="dxa" w:w="3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Capacitación a usuarios (40 horas)</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Actas de capacitación firmadas</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10 dic 2025</w:t>
            </w:r>
          </w:p>
        </w:tc>
        <w:tc>
          <w:tcPr>
            <w:tcW w:type="dxa" w:w="800"/>
            <w:tcBorders>
              <w:top w:val="single" w:color="D0D7E3" w:sz="1"/>
              <w:left w:val="single" w:color="D0D7E3" w:sz="1"/>
              <w:bottom w:val="single" w:color="D0D7E3" w:sz="1"/>
              <w:right w:val="single" w:color="D0D7E3" w:sz="1"/>
            </w:tcBorders>
            <w:shd w:fill="F2F5FA" w:val="clear"/>
            <w:tcMar>
              <w:top w:type="dxa" w:w="60"/>
              <w:left w:type="dxa" w:w="60"/>
              <w:bottom w:type="dxa" w:w="60"/>
              <w:right w:type="dxa" w:w="60"/>
            </w:tcMar>
          </w:tcPr>
          <w:p>
            <w:pPr>
              <w:jc w:val="center"/>
            </w:pPr>
            <w:r>
              <w:rPr>
                <w:rFonts w:ascii="Arial" w:cs="Arial" w:eastAsia="Arial" w:hAnsi="Arial"/>
                <w:b/>
                <w:bCs/>
                <w:color w:val="1D6B3A"/>
                <w:sz w:val="22"/>
                <w:szCs w:val="22"/>
              </w:rPr>
              <w:t xml:space="preserve">✓</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3. MÉTRICAS FINALES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Indicador</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Meta Contractual</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Resultado Real</w:t>
            </w:r>
          </w:p>
        </w:tc>
        <w:tc>
          <w:tcPr>
            <w:tcW w:type="dxa" w:w="2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Estado</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Requerimientos funcionales implementados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20 RF (100%)</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20 RF (100%)</w:t>
            </w:r>
          </w:p>
        </w:tc>
        <w:tc>
          <w:tcPr>
            <w:tcW w:type="dxa" w:w="2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Disponibilidad del sistema en producción</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99% horario laboral</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99.3% (medido 15-31 dic)</w:t>
            </w:r>
          </w:p>
        </w:tc>
        <w:tc>
          <w:tcPr>
            <w:tcW w:type="dxa" w:w="2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Tiempo de respuesta P95</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&lt; 2 segundos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1.42 segundos</w:t>
            </w:r>
          </w:p>
        </w:tc>
        <w:tc>
          <w:tcPr>
            <w:tcW w:type="dxa" w:w="2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Cobertura de pruebas automatizadas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80%</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84.7%</w:t>
            </w:r>
          </w:p>
        </w:tc>
        <w:tc>
          <w:tcPr>
            <w:tcW w:type="dxa" w:w="2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Vulnerabilidades críticas OWASP</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0 vulnerabilidades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0 vulnerabilidades</w:t>
            </w:r>
          </w:p>
        </w:tc>
        <w:tc>
          <w:tcPr>
            <w:tcW w:type="dxa" w:w="2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Precisión modelos NLP (docs digitales)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85%</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88.3%</w:t>
            </w:r>
          </w:p>
        </w:tc>
        <w:tc>
          <w:tcPr>
            <w:tcW w:type="dxa" w:w="2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Precisión modelos NLP (docs escaneados)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85%</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B45309"/>
                <w:sz w:val="20"/>
                <w:szCs w:val="20"/>
              </w:rPr>
              <w:t xml:space="preserve">81.2% (ajuste acordado)</w:t>
            </w:r>
          </w:p>
        </w:tc>
        <w:tc>
          <w:tcPr>
            <w:tcW w:type="dxa" w:w="2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 Aceptado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Casos UAT aprobados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90%</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11 de 12 (91.7%)</w:t>
            </w:r>
          </w:p>
        </w:tc>
        <w:tc>
          <w:tcPr>
            <w:tcW w:type="dxa" w:w="2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Satisfacción usuarios UAT (encuesta)</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4.0/5.0</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4.3/5.0 promedio</w:t>
            </w:r>
          </w:p>
        </w:tc>
        <w:tc>
          <w:tcPr>
            <w:tcW w:type="dxa" w:w="2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Horas de capacitación entregadas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40 horas mínimo</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46 horas</w:t>
            </w:r>
          </w:p>
        </w:tc>
        <w:tc>
          <w:tcPr>
            <w:tcW w:type="dxa" w:w="2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Duración total del proyecto</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6 meses exactos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6 meses exactos</w:t>
            </w:r>
          </w:p>
        </w:tc>
        <w:tc>
          <w:tcPr>
            <w:tcW w:type="dxa" w:w="2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Costo final del proyecto</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$ 480.000.000 COP</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D6B3A"/>
                <w:sz w:val="20"/>
                <w:szCs w:val="20"/>
              </w:rPr>
              <w:t xml:space="preserve">$ 480.000.000 COP</w:t>
            </w:r>
          </w:p>
        </w:tc>
        <w:tc>
          <w:tcPr>
            <w:tcW w:type="dxa" w:w="2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 Cumplido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4. LECCIONES APRENDIDAS</w:t>
      </w:r>
    </w:p>
    <w:p>
      <w:pPr>
        <w:pStyle w:val="Heading2"/>
        <w:spacing w:after="120" w:before="240"/>
      </w:pPr>
      <w:r>
        <w:rPr>
          <w:rFonts w:ascii="Arial" w:cs="Arial" w:eastAsia="Arial" w:hAnsi="Arial"/>
          <w:b/>
          <w:bCs/>
          <w:color w:val="2E5C99"/>
          <w:sz w:val="24"/>
          <w:szCs w:val="24"/>
        </w:rPr>
        <w:t xml:space="preserve">4.1 Lo que Funcionó Bien</w:t>
      </w:r>
    </w:p>
    <w:p>
      <w:pPr>
        <w:pStyle w:val="ListParagraph"/>
        <w:numPr>
          <w:ilvl w:val="0"/>
          <w:numId w:val="2"/>
        </w:numPr>
        <w:spacing w:after="80" w:before="40" w:line="260"/>
      </w:pPr>
      <w:r>
        <w:rPr>
          <w:rFonts w:ascii="Arial" w:cs="Arial" w:eastAsia="Arial" w:hAnsi="Arial"/>
          <w:color w:val="1A1A1A"/>
          <w:sz w:val="22"/>
          <w:szCs w:val="22"/>
        </w:rPr>
        <w:t xml:space="preserve">La adopción de metodología ágil con sprints de 4 semanas permitió entregar valor incremental y obtener feedback temprano de los usuarios de INNOVATEC, evitando grandes correcciones al final.</w:t>
      </w:r>
    </w:p>
    <w:p>
      <w:pPr>
        <w:pStyle w:val="ListParagraph"/>
        <w:numPr>
          <w:ilvl w:val="0"/>
          <w:numId w:val="2"/>
        </w:numPr>
        <w:spacing w:after="80" w:before="40" w:line="260"/>
      </w:pPr>
      <w:r>
        <w:rPr>
          <w:rFonts w:ascii="Arial" w:cs="Arial" w:eastAsia="Arial" w:hAnsi="Arial"/>
          <w:color w:val="1A1A1A"/>
          <w:sz w:val="22"/>
          <w:szCs w:val="22"/>
        </w:rPr>
        <w:t xml:space="preserve">La Matriz de Trazabilidad (MTR-IA-004) actualizada continuamente facilitó el control de cambios y evitó que requerimientos quedaran sin implementar.</w:t>
      </w:r>
    </w:p>
    <w:p>
      <w:pPr>
        <w:pStyle w:val="ListParagraph"/>
        <w:numPr>
          <w:ilvl w:val="0"/>
          <w:numId w:val="2"/>
        </w:numPr>
        <w:spacing w:after="80" w:before="40" w:line="260"/>
      </w:pPr>
      <w:r>
        <w:rPr>
          <w:rFonts w:ascii="Arial" w:cs="Arial" w:eastAsia="Arial" w:hAnsi="Arial"/>
          <w:color w:val="1A1A1A"/>
          <w:sz w:val="22"/>
          <w:szCs w:val="22"/>
        </w:rPr>
        <w:t xml:space="preserve">El pipeline CI/CD automatizado redujo los tiempos de integración y eliminó la mayoría de los errores de integración que habrían aparecido en etapas tardías.</w:t>
      </w:r>
    </w:p>
    <w:p>
      <w:pPr>
        <w:pStyle w:val="ListParagraph"/>
        <w:numPr>
          <w:ilvl w:val="0"/>
          <w:numId w:val="2"/>
        </w:numPr>
        <w:spacing w:after="80" w:before="40" w:line="260"/>
      </w:pPr>
      <w:r>
        <w:rPr>
          <w:rFonts w:ascii="Arial" w:cs="Arial" w:eastAsia="Arial" w:hAnsi="Arial"/>
          <w:color w:val="1A1A1A"/>
          <w:sz w:val="22"/>
          <w:szCs w:val="22"/>
        </w:rPr>
        <w:t xml:space="preserve">La capacitación anticipada (comenzó en Sprint 4, no al final) permitió que los usuarios llegaran al UAT con conocimiento previo del sistema, acelerando la validación.</w:t>
      </w:r>
    </w:p>
    <w:p>
      <w:pPr>
        <w:pStyle w:val="Heading2"/>
        <w:spacing w:after="120" w:before="240"/>
      </w:pPr>
      <w:r>
        <w:rPr>
          <w:rFonts w:ascii="Arial" w:cs="Arial" w:eastAsia="Arial" w:hAnsi="Arial"/>
          <w:b/>
          <w:bCs/>
          <w:color w:val="2E5C99"/>
          <w:sz w:val="24"/>
          <w:szCs w:val="24"/>
        </w:rPr>
        <w:t xml:space="preserve">4.2 Oportunidades de Mejora para Futuros Proyectos</w:t>
      </w:r>
    </w:p>
    <w:p>
      <w:pPr>
        <w:pStyle w:val="ListParagraph"/>
        <w:numPr>
          <w:ilvl w:val="0"/>
          <w:numId w:val="2"/>
        </w:numPr>
        <w:spacing w:after="80" w:before="40" w:line="260"/>
      </w:pPr>
      <w:r>
        <w:rPr>
          <w:rFonts w:ascii="Arial" w:cs="Arial" w:eastAsia="Arial" w:hAnsi="Arial"/>
          <w:color w:val="1A1A1A"/>
          <w:sz w:val="22"/>
          <w:szCs w:val="22"/>
        </w:rPr>
        <w:t xml:space="preserve">El levantamiento de requerimientos para el módulo NLP subestimó la complejidad de procesar documentos escaneados. En proyectos futuros, incluir análisis de calidad de los documentos existentes antes de estimar la precisión de los modelos.</w:t>
      </w:r>
    </w:p>
    <w:p>
      <w:pPr>
        <w:pStyle w:val="ListParagraph"/>
        <w:numPr>
          <w:ilvl w:val="0"/>
          <w:numId w:val="2"/>
        </w:numPr>
        <w:spacing w:after="80" w:before="40" w:line="260"/>
      </w:pPr>
      <w:r>
        <w:rPr>
          <w:rFonts w:ascii="Arial" w:cs="Arial" w:eastAsia="Arial" w:hAnsi="Arial"/>
          <w:color w:val="1A1A1A"/>
          <w:sz w:val="22"/>
          <w:szCs w:val="22"/>
        </w:rPr>
        <w:t xml:space="preserve">La integración con el ERP SAP tomó 3 días adicionales por documentación desactualizada de la API del cliente. Recomendación: exigir documentación API actualizada del cliente como prerequisito de la Fase 1.</w:t>
      </w:r>
    </w:p>
    <w:p>
      <w:pPr>
        <w:pStyle w:val="ListParagraph"/>
        <w:numPr>
          <w:ilvl w:val="0"/>
          <w:numId w:val="2"/>
        </w:numPr>
        <w:spacing w:after="80" w:before="40" w:line="260"/>
      </w:pPr>
      <w:r>
        <w:rPr>
          <w:rFonts w:ascii="Arial" w:cs="Arial" w:eastAsia="Arial" w:hAnsi="Arial"/>
          <w:color w:val="1A1A1A"/>
          <w:sz w:val="22"/>
          <w:szCs w:val="22"/>
        </w:rPr>
        <w:t xml:space="preserve">La gestión de expectativas de los usuarios sobre las capacidades de la IA fue un reto constante. Incluir en los talleres iniciales una sesión de 'educación en IA' para alinear expectativas con la realidad técnica.</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5. OBSERVACIONES PENDIENTES DE SOPORTE</w:t>
      </w:r>
    </w:p>
    <w:p>
      <w:pPr>
        <w:spacing w:after="100" w:before="60" w:line="280"/>
        <w:jc w:val="both"/>
      </w:pPr>
      <w:r>
        <w:rPr>
          <w:rFonts w:ascii="Arial" w:cs="Arial" w:eastAsia="Arial" w:hAnsi="Arial"/>
          <w:color w:val="1A1A1A"/>
          <w:sz w:val="22"/>
          <w:szCs w:val="22"/>
        </w:rPr>
        <w:t xml:space="preserve">Las siguientes observaciones menores identificadas en el UAT serán atendidas durante el período de soporte post-implementación (3 meses) sin costo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400"/>
        <w:gridCol w:w="1600"/>
      </w:tblGrid>
      <w:tr>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ID</w:t>
            </w:r>
          </w:p>
        </w:tc>
        <w:tc>
          <w:tcPr>
            <w:tcW w:type="dxa" w:w="4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Observación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Módulo</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Fecha Límite</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OBS-001</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 precisión NLP en documentos escaneados (81.2%) debe alcanzar el 85% mediante reentrenamiento con dataset ampliado.</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NLP</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feb 2026</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OBS-002</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reporte de productividad no incluye el gráfico de tendencia semanal solicitado por el Director de Operaciones.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Reportes</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31 ene 2026</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OBS-003</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dashboard de Safari 17 requiere ajuste menor de estilos CSS para alineación de widgets.</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Frontend</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31 ene 2026</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OBS-004</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Agregar opción de filtro por área en el log de auditoría para facilitar revisiones del Coordinador TI.</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Auditoría</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28 feb 2026</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6. FIRMAS DE CIERRE DEL PROYECTO</w:t>
      </w:r>
    </w:p>
    <w:p>
      <w:pPr>
        <w:spacing w:after="100" w:before="60" w:line="280"/>
        <w:jc w:val="both"/>
      </w:pPr>
      <w:r>
        <w:rPr>
          <w:rFonts w:ascii="Arial" w:cs="Arial" w:eastAsia="Arial" w:hAnsi="Arial"/>
          <w:color w:val="1A1A1A"/>
          <w:sz w:val="22"/>
          <w:szCs w:val="22"/>
        </w:rPr>
        <w:t xml:space="preserve">Las partes firmantes declaran que el proyecto CON-IA-2025-001 ha sido ejecutado satisfactoriamente, que los entregables listados en la sección 2 han sido recibidos a conformidad, y que el sistema SistemaIA Pro está en operación en el ambiente de producción de INNOVATEC COLOMBIA S.A.S. a partir del 15 de diciembre de 2025.</w:t>
      </w:r>
    </w:p>
    <w:p>
      <w:pPr>
        <w:spacing w:after="100" w:before="60" w:line="280"/>
        <w:jc w:val="both"/>
      </w:pPr>
      <w:r>
        <w:rPr>
          <w:rFonts w:ascii="Arial" w:cs="Arial" w:eastAsia="Arial" w:hAnsi="Arial"/>
          <w:color w:val="1A1A1A"/>
          <w:sz w:val="22"/>
          <w:szCs w:val="22"/>
        </w:rPr>
        <w:t xml:space="preserve">Las observaciones listadas en la sección 5 serán atendidas durante el período de soporte post-implementación de 3 meses (hasta el 15 de marzo de 2026) sin costo adicional para EL CONTRATANTE, conforme a la Cláusula Décima del contrato.</w:t>
      </w:r>
    </w:p>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2"/>
                <w:szCs w:val="22"/>
              </w:rPr>
              <w:t xml:space="preserve">EL CONTRATANTE</w:t>
            </w:r>
          </w:p>
          <w:p>
            <w:pPr>
              <w:jc w:val="center"/>
            </w:pPr>
            <w:r>
              <w:rPr>
                <w:rFonts w:ascii="Arial" w:cs="Arial" w:eastAsia="Arial" w:hAnsi="Arial"/>
                <w:color w:val="555555"/>
                <w:sz w:val="20"/>
                <w:szCs w:val="20"/>
              </w:rPr>
              <w:t xml:space="preserve">INNOVATEC COLOMBIA S.A.S.</w:t>
            </w:r>
          </w:p>
          <w:p>
            <w:pPr>
              <w:pBdr>
                <w:top w:val="single" w:color="1B2A4A" w:sz="2"/>
              </w:pBdr>
              <w:spacing w:before="800"/>
              <w:jc w:val="center"/>
            </w:pPr>
            <w:r>
              <w:rPr>
                <w:rFonts w:ascii="Arial" w:cs="Arial" w:eastAsia="Arial" w:hAnsi="Arial"/>
                <w:b/>
                <w:bCs/>
                <w:color w:val="1A1A1A"/>
                <w:sz w:val="22"/>
                <w:szCs w:val="22"/>
              </w:rPr>
              <w:t xml:space="preserve">Andrés Felipe Morales Rueda</w:t>
            </w:r>
          </w:p>
          <w:p>
            <w:pPr>
              <w:jc w:val="center"/>
            </w:pPr>
            <w:r>
              <w:rPr>
                <w:rFonts w:ascii="Arial" w:cs="Arial" w:eastAsia="Arial" w:hAnsi="Arial"/>
                <w:sz w:val="20"/>
                <w:szCs w:val="20"/>
              </w:rPr>
              <w:t xml:space="preserve">Gerente General</w:t>
            </w:r>
          </w:p>
          <w:p>
            <w:pPr>
              <w:jc w:val="center"/>
            </w:pPr>
            <w:r>
              <w:rPr>
                <w:rFonts w:ascii="Arial" w:cs="Arial" w:eastAsia="Arial" w:hAnsi="Arial"/>
                <w:color w:val="555555"/>
                <w:sz w:val="20"/>
                <w:szCs w:val="20"/>
              </w:rPr>
              <w:t xml:space="preserve">C.C. 91.456.789</w:t>
            </w:r>
          </w:p>
          <w:p>
            <w:pPr>
              <w:spacing w:before="60"/>
              <w:jc w:val="center"/>
            </w:pPr>
            <w:r>
              <w:rPr>
                <w:rFonts w:ascii="Arial" w:cs="Arial" w:eastAsia="Arial" w:hAnsi="Arial"/>
                <w:i/>
                <w:iCs/>
                <w:color w:val="555555"/>
                <w:sz w:val="20"/>
                <w:szCs w:val="20"/>
              </w:rPr>
              <w:t xml:space="preserve">Fecha: 16 de enero de 2026</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2"/>
                <w:szCs w:val="22"/>
              </w:rPr>
              <w:t xml:space="preserve">EL CONTRATISTA</w:t>
            </w:r>
          </w:p>
          <w:p>
            <w:pPr>
              <w:jc w:val="center"/>
            </w:pPr>
            <w:r>
              <w:rPr>
                <w:rFonts w:ascii="Arial" w:cs="Arial" w:eastAsia="Arial" w:hAnsi="Arial"/>
                <w:color w:val="555555"/>
                <w:sz w:val="20"/>
                <w:szCs w:val="20"/>
              </w:rPr>
              <w:t xml:space="preserve">NEXUS AI SOLUTIONS S.A.S.</w:t>
            </w:r>
          </w:p>
          <w:p>
            <w:pPr>
              <w:pBdr>
                <w:top w:val="single" w:color="1B2A4A" w:sz="2"/>
              </w:pBdr>
              <w:spacing w:before="800"/>
              <w:jc w:val="center"/>
            </w:pPr>
            <w:r>
              <w:rPr>
                <w:rFonts w:ascii="Arial" w:cs="Arial" w:eastAsia="Arial" w:hAnsi="Arial"/>
                <w:b/>
                <w:bCs/>
                <w:color w:val="1A1A1A"/>
                <w:sz w:val="22"/>
                <w:szCs w:val="22"/>
              </w:rPr>
              <w:t xml:space="preserve">Valentina Torres Ospina</w:t>
            </w:r>
          </w:p>
          <w:p>
            <w:pPr>
              <w:jc w:val="center"/>
            </w:pPr>
            <w:r>
              <w:rPr>
                <w:rFonts w:ascii="Arial" w:cs="Arial" w:eastAsia="Arial" w:hAnsi="Arial"/>
                <w:sz w:val="20"/>
                <w:szCs w:val="20"/>
              </w:rPr>
              <w:t xml:space="preserve">Gerente de Proyecto</w:t>
            </w:r>
          </w:p>
          <w:p>
            <w:pPr>
              <w:jc w:val="center"/>
            </w:pPr>
            <w:r>
              <w:rPr>
                <w:rFonts w:ascii="Arial" w:cs="Arial" w:eastAsia="Arial" w:hAnsi="Arial"/>
                <w:color w:val="555555"/>
                <w:sz w:val="20"/>
                <w:szCs w:val="20"/>
              </w:rPr>
              <w:t xml:space="preserve">C.C. 52.987.654</w:t>
            </w:r>
          </w:p>
          <w:p>
            <w:pPr>
              <w:spacing w:before="60"/>
              <w:jc w:val="center"/>
            </w:pPr>
            <w:r>
              <w:rPr>
                <w:rFonts w:ascii="Arial" w:cs="Arial" w:eastAsia="Arial" w:hAnsi="Arial"/>
                <w:i/>
                <w:iCs/>
                <w:color w:val="555555"/>
                <w:sz w:val="20"/>
                <w:szCs w:val="20"/>
              </w:rPr>
              <w:t xml:space="preserve">Fecha: 16 de enero de 2026</w:t>
            </w:r>
          </w:p>
        </w:tc>
      </w:tr>
    </w:tbl>
    <w:p>
      <w:pPr>
        <w:spacing w:after="60" w:before="0"/>
      </w:pPr>
      <w:r>
        <w:t xml:space="preserve"/>
      </w:r>
    </w:p>
    <w:p>
      <w:pPr>
        <w:spacing w:after="60" w:before="0"/>
      </w:pPr>
      <w:r>
        <w:t xml:space="preserve"/>
      </w:r>
    </w:p>
    <w:p>
      <w:pPr>
        <w:spacing w:before="200"/>
        <w:jc w:val="center"/>
      </w:pPr>
      <w:r>
        <w:rPr>
          <w:rFonts w:ascii="Arial" w:cs="Arial" w:eastAsia="Arial" w:hAnsi="Arial"/>
          <w:i/>
          <w:iCs/>
          <w:color w:val="555555"/>
          <w:sz w:val="20"/>
          <w:szCs w:val="20"/>
        </w:rPr>
        <w:t xml:space="preserve">— Fin del Documento AEC-IMP-008 | Proyecto CON-IA-2025-001 CERRADO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Fase de Implementación  |  2025</w:t>
    </w:r>
    <w:r>
      <w:rPr>
        <w:rFonts w:ascii="Arial" w:cs="Arial" w:eastAsia="Arial" w:hAnsi="Arial"/>
        <w:b/>
        <w:bCs/>
        <w:color w:val="1B2A4A"/>
        <w:sz w:val="18"/>
        <w:szCs w:val="18"/>
      </w:rPr>
      <w:t xml:space="preserve">	Doc. 4 de 4 – Fase Implementación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Acta de Entrega y Cierre del Proyecto</w:t>
    </w:r>
    <w:r>
      <w:rPr>
        <w:rFonts w:ascii="Arial" w:cs="Arial" w:eastAsia="Arial" w:hAnsi="Arial"/>
        <w:color w:val="2E5C99"/>
        <w:sz w:val="18"/>
        <w:szCs w:val="18"/>
      </w:rPr>
      <w:t xml:space="preserve">	AEC-IMP-008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2026-06-03T21:24:30.469Z</dcterms:created>
  <dcterms:modified xsi:type="dcterms:W3CDTF">2026-06-03T21:24:30.469Z</dcterms:modified>
</cp:coreProperties>
</file>

<file path=docProps/custom.xml><?xml version="1.0" encoding="utf-8"?>
<Properties xmlns="http://schemas.openxmlformats.org/officeDocument/2006/custom-properties" xmlns:vt="http://schemas.openxmlformats.org/officeDocument/2006/docPropsVTypes"/>
</file>