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20"/>
              <w:left w:type="dxa" w:w="500"/>
              <w:bottom w:type="dxa" w:w="420"/>
              <w:right w:type="dxa" w:w="500"/>
            </w:tcMar>
          </w:tcPr>
          <w:p>
            <w:pPr>
              <w:jc w:val="center"/>
            </w:pPr>
            <w:r>
              <w:rPr>
                <w:rFonts w:ascii="Arial" w:cs="Arial" w:eastAsia="Arial" w:hAnsi="Arial"/>
                <w:b/>
                <w:bCs/>
                <w:color w:val="FFFFFF"/>
                <w:sz w:val="38"/>
                <w:szCs w:val="38"/>
              </w:rPr>
              <w:t xml:space="preserve">PLAN DE PRUEBAS DE SOFTWARE</w:t>
            </w:r>
          </w:p>
          <w:p>
            <w:pPr>
              <w:spacing w:before="100"/>
              <w:jc w:val="center"/>
            </w:pPr>
            <w:r>
              <w:rPr>
                <w:rFonts w:ascii="Arial" w:cs="Arial" w:eastAsia="Arial" w:hAnsi="Arial"/>
                <w:i/>
                <w:iCs/>
                <w:color w:val="A8C4E5"/>
                <w:sz w:val="22"/>
                <w:szCs w:val="22"/>
              </w:rPr>
              <w:t xml:space="preserve">SistemaIA Pro – INNOVATEC COLOMBIA S.A.S.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PT-QA-001</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Versión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1.0</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5 de septiembre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Roberto Suárez León – QA Lead, NEXUS AI SOLUTIONS S.A.S.</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Revisado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Valentina Torres Ospina – Gerente de Proyecto</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Aprobado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Andrés Felipe Morales Rueda – INNOVATEC COLOMBIA S.A.S.</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Estándar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IEEE 829-2008 / ISO/IEC 29119</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1. INTRODUCCIÓN</w:t>
      </w:r>
    </w:p>
    <w:p>
      <w:pPr>
        <w:pStyle w:val="Heading2"/>
        <w:spacing w:after="100" w:before="220"/>
      </w:pPr>
      <w:r>
        <w:rPr>
          <w:rFonts w:ascii="Arial" w:cs="Arial" w:eastAsia="Arial" w:hAnsi="Arial"/>
          <w:b/>
          <w:bCs/>
          <w:color w:val="2E5C99"/>
          <w:sz w:val="24"/>
          <w:szCs w:val="24"/>
        </w:rPr>
        <w:t xml:space="preserve">1.1 Propósito</w:t>
      </w:r>
    </w:p>
    <w:p>
      <w:pPr>
        <w:spacing w:after="100" w:before="60" w:line="280"/>
        <w:jc w:val="both"/>
      </w:pPr>
      <w:r>
        <w:rPr>
          <w:rFonts w:ascii="Arial" w:cs="Arial" w:eastAsia="Arial" w:hAnsi="Arial"/>
          <w:color w:val="1A1A1A"/>
          <w:sz w:val="22"/>
          <w:szCs w:val="22"/>
        </w:rPr>
        <w:t xml:space="preserve">El presente Plan de Pruebas define la estrategia, el alcance, los recursos, el cronograma y los criterios de éxito para las actividades de verificación y validación del aplicativo SistemaIA Pro, desarrollado para INNOVATEC COLOMBIA S.A.S. Este documento es la guía maestra del equipo de aseguramiento de calidad (QA) durante las fases de pruebas del proyecto CON-IA-2025-001.</w:t>
      </w:r>
    </w:p>
    <w:p>
      <w:pPr>
        <w:spacing w:after="100" w:before="60" w:line="280"/>
        <w:jc w:val="both"/>
      </w:pPr>
      <w:r>
        <w:rPr>
          <w:rFonts w:ascii="Arial" w:cs="Arial" w:eastAsia="Arial" w:hAnsi="Arial"/>
          <w:color w:val="1A1A1A"/>
          <w:sz w:val="22"/>
          <w:szCs w:val="22"/>
        </w:rPr>
        <w:t xml:space="preserve">El plan cubre todos los niveles de prueba: unitarias, de integración, de sistema, de rendimiento, de seguridad y de aceptación del usuario (UAT), garantizando que el sistema cumpla con los requerimientos funcionales (RF) y no funcionales (RNF) definidos en el documento SRS-IA-002.</w:t>
      </w:r>
    </w:p>
    <w:p>
      <w:pPr>
        <w:pStyle w:val="Heading2"/>
        <w:spacing w:after="100" w:before="220"/>
      </w:pPr>
      <w:r>
        <w:rPr>
          <w:rFonts w:ascii="Arial" w:cs="Arial" w:eastAsia="Arial" w:hAnsi="Arial"/>
          <w:b/>
          <w:bCs/>
          <w:color w:val="2E5C99"/>
          <w:sz w:val="24"/>
          <w:szCs w:val="24"/>
        </w:rPr>
        <w:t xml:space="preserve">1.2 Alcance de las Pruebas</w:t>
      </w:r>
    </w:p>
    <w:p>
      <w:pPr>
        <w:spacing w:after="100" w:before="60" w:line="280"/>
        <w:jc w:val="both"/>
      </w:pPr>
      <w:r>
        <w:rPr>
          <w:rFonts w:ascii="Arial" w:cs="Arial" w:eastAsia="Arial" w:hAnsi="Arial"/>
          <w:b/>
          <w:bCs/>
          <w:color w:val="1A1A1A"/>
          <w:sz w:val="22"/>
          <w:szCs w:val="22"/>
        </w:rPr>
        <w:t xml:space="preserve">En alcance: </w:t>
      </w:r>
      <w:r>
        <w:rPr>
          <w:rFonts w:ascii="Arial" w:cs="Arial" w:eastAsia="Arial" w:hAnsi="Arial"/>
          <w:color w:val="1A1A1A"/>
          <w:sz w:val="22"/>
          <w:szCs w:val="22"/>
        </w:rPr>
        <w:t xml:space="preserve"/>
      </w:r>
    </w:p>
    <w:p>
      <w:pPr>
        <w:pStyle w:val="ListParagraph"/>
        <w:numPr>
          <w:ilvl w:val="0"/>
          <w:numId w:val="2"/>
        </w:numPr>
        <w:spacing w:after="80" w:before="40" w:line="260"/>
      </w:pPr>
      <w:r>
        <w:rPr>
          <w:rFonts w:ascii="Arial" w:cs="Arial" w:eastAsia="Arial" w:hAnsi="Arial"/>
          <w:color w:val="1A1A1A"/>
          <w:sz w:val="22"/>
          <w:szCs w:val="22"/>
        </w:rPr>
        <w:t xml:space="preserve">Todos los módulos funcionales del sistema: Autenticación, Flujos de Trabajo IA, Dashboard KPIs, NLP Documental, Analítica Predictiva, Motor de Recomendaciones, Sistema de Alertas, Integración API, Reportes y Auditoría.</w:t>
      </w:r>
    </w:p>
    <w:p>
      <w:pPr>
        <w:pStyle w:val="ListParagraph"/>
        <w:numPr>
          <w:ilvl w:val="0"/>
          <w:numId w:val="2"/>
        </w:numPr>
        <w:spacing w:after="80" w:before="40" w:line="260"/>
      </w:pPr>
      <w:r>
        <w:rPr>
          <w:rFonts w:ascii="Arial" w:cs="Arial" w:eastAsia="Arial" w:hAnsi="Arial"/>
          <w:color w:val="1A1A1A"/>
          <w:sz w:val="22"/>
          <w:szCs w:val="22"/>
        </w:rPr>
        <w:t xml:space="preserve">Pruebas de integración con sistemas existentes de INNOVATEC (ERP, CRM).</w:t>
      </w:r>
    </w:p>
    <w:p>
      <w:pPr>
        <w:pStyle w:val="ListParagraph"/>
        <w:numPr>
          <w:ilvl w:val="0"/>
          <w:numId w:val="2"/>
        </w:numPr>
        <w:spacing w:after="80" w:before="40" w:line="260"/>
      </w:pPr>
      <w:r>
        <w:rPr>
          <w:rFonts w:ascii="Arial" w:cs="Arial" w:eastAsia="Arial" w:hAnsi="Arial"/>
          <w:color w:val="1A1A1A"/>
          <w:sz w:val="22"/>
          <w:szCs w:val="22"/>
        </w:rPr>
        <w:t xml:space="preserve">Pruebas de rendimiento bajo carga de hasta 200 usuarios concurrentes.</w:t>
      </w:r>
    </w:p>
    <w:p>
      <w:pPr>
        <w:pStyle w:val="ListParagraph"/>
        <w:numPr>
          <w:ilvl w:val="0"/>
          <w:numId w:val="2"/>
        </w:numPr>
        <w:spacing w:after="80" w:before="40" w:line="260"/>
      </w:pPr>
      <w:r>
        <w:rPr>
          <w:rFonts w:ascii="Arial" w:cs="Arial" w:eastAsia="Arial" w:hAnsi="Arial"/>
          <w:color w:val="1A1A1A"/>
          <w:sz w:val="22"/>
          <w:szCs w:val="22"/>
        </w:rPr>
        <w:t xml:space="preserve">Pruebas de seguridad OWASP Top 10.</w:t>
      </w:r>
    </w:p>
    <w:p>
      <w:pPr>
        <w:pStyle w:val="ListParagraph"/>
        <w:numPr>
          <w:ilvl w:val="0"/>
          <w:numId w:val="2"/>
        </w:numPr>
        <w:spacing w:after="80" w:before="40" w:line="260"/>
      </w:pPr>
      <w:r>
        <w:rPr>
          <w:rFonts w:ascii="Arial" w:cs="Arial" w:eastAsia="Arial" w:hAnsi="Arial"/>
          <w:color w:val="1A1A1A"/>
          <w:sz w:val="22"/>
          <w:szCs w:val="22"/>
        </w:rPr>
        <w:t xml:space="preserve">Pruebas de aceptación del usuario (UAT) con personal de INNOVATEC COLOMBIA S.A.S.</w:t>
      </w:r>
    </w:p>
    <w:p>
      <w:pPr>
        <w:pStyle w:val="ListParagraph"/>
        <w:numPr>
          <w:ilvl w:val="0"/>
          <w:numId w:val="2"/>
        </w:numPr>
        <w:spacing w:after="80" w:before="40" w:line="260"/>
      </w:pPr>
      <w:r>
        <w:rPr>
          <w:rFonts w:ascii="Arial" w:cs="Arial" w:eastAsia="Arial" w:hAnsi="Arial"/>
          <w:color w:val="1A1A1A"/>
          <w:sz w:val="22"/>
          <w:szCs w:val="22"/>
        </w:rPr>
        <w:t xml:space="preserve">Pruebas de compatibilidad en navegadores: Chrome 100+, Firefox 100+, Edge 100+, Safari 15+.</w:t>
      </w:r>
    </w:p>
    <w:p>
      <w:pPr>
        <w:spacing w:after="100" w:before="60" w:line="280"/>
        <w:jc w:val="both"/>
      </w:pPr>
      <w:r>
        <w:rPr>
          <w:rFonts w:ascii="Arial" w:cs="Arial" w:eastAsia="Arial" w:hAnsi="Arial"/>
          <w:b/>
          <w:bCs/>
          <w:color w:val="1A1A1A"/>
          <w:sz w:val="22"/>
          <w:szCs w:val="22"/>
        </w:rPr>
        <w:t xml:space="preserve">Fuera de alcance: </w:t>
      </w:r>
      <w:r>
        <w:rPr>
          <w:rFonts w:ascii="Arial" w:cs="Arial" w:eastAsia="Arial" w:hAnsi="Arial"/>
          <w:color w:val="1A1A1A"/>
          <w:sz w:val="22"/>
          <w:szCs w:val="22"/>
        </w:rPr>
        <w:t xml:space="preserve"/>
      </w:r>
    </w:p>
    <w:p>
      <w:pPr>
        <w:pStyle w:val="ListParagraph"/>
        <w:numPr>
          <w:ilvl w:val="0"/>
          <w:numId w:val="2"/>
        </w:numPr>
        <w:spacing w:after="80" w:before="40" w:line="260"/>
      </w:pPr>
      <w:r>
        <w:rPr>
          <w:rFonts w:ascii="Arial" w:cs="Arial" w:eastAsia="Arial" w:hAnsi="Arial"/>
          <w:color w:val="1A1A1A"/>
          <w:sz w:val="22"/>
          <w:szCs w:val="22"/>
        </w:rPr>
        <w:t xml:space="preserve">Pruebas de infraestructura cloud (responsabilidad del proveedor AWS/Azure).</w:t>
      </w:r>
    </w:p>
    <w:p>
      <w:pPr>
        <w:pStyle w:val="ListParagraph"/>
        <w:numPr>
          <w:ilvl w:val="0"/>
          <w:numId w:val="2"/>
        </w:numPr>
        <w:spacing w:after="80" w:before="40" w:line="260"/>
      </w:pPr>
      <w:r>
        <w:rPr>
          <w:rFonts w:ascii="Arial" w:cs="Arial" w:eastAsia="Arial" w:hAnsi="Arial"/>
          <w:color w:val="1A1A1A"/>
          <w:sz w:val="22"/>
          <w:szCs w:val="22"/>
        </w:rPr>
        <w:t xml:space="preserve">Pruebas de dispositivos móviles nativos (la aplicación es web responsive).</w:t>
      </w:r>
    </w:p>
    <w:p>
      <w:pPr>
        <w:pStyle w:val="ListParagraph"/>
        <w:numPr>
          <w:ilvl w:val="0"/>
          <w:numId w:val="2"/>
        </w:numPr>
        <w:spacing w:after="80" w:before="40" w:line="260"/>
      </w:pPr>
      <w:r>
        <w:rPr>
          <w:rFonts w:ascii="Arial" w:cs="Arial" w:eastAsia="Arial" w:hAnsi="Arial"/>
          <w:color w:val="1A1A1A"/>
          <w:sz w:val="22"/>
          <w:szCs w:val="22"/>
        </w:rPr>
        <w:t xml:space="preserve">Pruebas de penetración avanzada (se contratará empresa especializada externa).</w:t>
      </w:r>
    </w:p>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2. ESTRATEGIA DE PRUEBAS</w:t>
      </w:r>
    </w:p>
    <w:p>
      <w:pPr>
        <w:pStyle w:val="Heading2"/>
        <w:spacing w:after="100" w:before="220"/>
      </w:pPr>
      <w:r>
        <w:rPr>
          <w:rFonts w:ascii="Arial" w:cs="Arial" w:eastAsia="Arial" w:hAnsi="Arial"/>
          <w:b/>
          <w:bCs/>
          <w:color w:val="2E5C99"/>
          <w:sz w:val="24"/>
          <w:szCs w:val="24"/>
        </w:rPr>
        <w:t xml:space="preserve">2.1 Niveles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Nivel</w:t>
            </w:r>
          </w:p>
        </w:tc>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Descripción</w:t>
            </w:r>
          </w:p>
        </w:tc>
        <w:tc>
          <w:tcPr>
            <w:tcW w:type="dxa" w:w="2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Responsable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Herramienta</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Pruebas Unitarias</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Verificación individual de cada función, método y componente del código fuente.</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Desarrolladores NEXUS</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Pytest / Jest / JUnit</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Pruebas de Integración</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Verificación de la comunicación correcta entre módulos y con sistemas externos (ERP, API).</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NEXUS + Desarrolladores</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Postman / Pytest / Docker Compose</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Pruebas de Sistema</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Validación end-to-end de los flujos completos de usuario sobre el sistema integrado.</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 – Roberto Suárez</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Selenium / Playwright</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Pruebas de Rendimiento</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Verificación del comportamiento del sistema bajo carga, estrés y picos de uso.</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 + DevOps NEXUS</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Apache JMeter</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Pruebas de Seguridad</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Evaluación de vulnerabilidades OWASP Top 10, inyecciones, autenticación y cifrado.</w:t>
            </w:r>
          </w:p>
        </w:tc>
        <w:tc>
          <w:tcPr>
            <w:tcW w:type="dxa" w:w="2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 + Especialista Seguridad</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OWASP ZAP / SonarQube / Snyk</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Pruebas UAT</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Validación final por usuarios de INNOVATEC; verificación de que el sistema cumple sus necesidades reales.</w:t>
            </w:r>
          </w:p>
        </w:tc>
        <w:tc>
          <w:tcPr>
            <w:tcW w:type="dxa" w:w="2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Jefes de Área INNOVATEC + QA NEXUS</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Casos UAT / Formularios de aceptación</w:t>
            </w:r>
          </w:p>
        </w:tc>
      </w:tr>
    </w:tbl>
    <w:p>
      <w:pPr>
        <w:pStyle w:val="Heading2"/>
        <w:spacing w:after="100" w:before="220"/>
      </w:pPr>
      <w:r>
        <w:rPr>
          <w:rFonts w:ascii="Arial" w:cs="Arial" w:eastAsia="Arial" w:hAnsi="Arial"/>
          <w:b/>
          <w:bCs/>
          <w:color w:val="2E5C99"/>
          <w:sz w:val="24"/>
          <w:szCs w:val="24"/>
        </w:rPr>
        <w:t xml:space="preserve">2.2 Tipos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Tipo</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Objetivo</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Sprint</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Funcional</w:t>
            </w:r>
          </w:p>
        </w:tc>
        <w:tc>
          <w:tcPr>
            <w:tcW w:type="dxa" w:w="51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Verificar que cada RF se comporta según el criterio de aceptación documentado en el SRS-IA-002.</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1-4</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Regresión</w:t>
            </w:r>
          </w:p>
        </w:tc>
        <w:tc>
          <w:tcPr>
            <w:tcW w:type="dxa" w:w="5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Garantizar que nuevas funcionalidades o correcciones no rompen funcionalidades previamente aprobadas.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2-5</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Humo (Smoke)</w:t>
            </w:r>
          </w:p>
        </w:tc>
        <w:tc>
          <w:tcPr>
            <w:tcW w:type="dxa" w:w="51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Verificación rápida de las funcionalidades críticas tras cada despliegue en ambiente de pruebas.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1-6</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Carga</w:t>
            </w:r>
          </w:p>
        </w:tc>
        <w:tc>
          <w:tcPr>
            <w:tcW w:type="dxa" w:w="5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Simular 200 usuarios concurrentes sostenidos durante 30 minutos y medir tiempos de respuesta.</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5</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Estrés</w:t>
            </w:r>
          </w:p>
        </w:tc>
        <w:tc>
          <w:tcPr>
            <w:tcW w:type="dxa" w:w="51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Incrementar carga progresivamente hasta encontrar el punto de quiebre del sistema.</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5</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Compatibilidad</w:t>
            </w:r>
          </w:p>
        </w:tc>
        <w:tc>
          <w:tcPr>
            <w:tcW w:type="dxa" w:w="5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Ejecutar casos clave en Chrome, Firefox, Edge y Safari para detectar diferencias de renderizado.</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4-5</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Accesibilidad</w:t>
            </w:r>
          </w:p>
        </w:tc>
        <w:tc>
          <w:tcPr>
            <w:tcW w:type="dxa" w:w="51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Verificar cumplimiento básico de WCAG 2.1 nivel AA para usuarios con discapacidad visual.</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5</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Regresión IA/ML</w:t>
            </w:r>
          </w:p>
        </w:tc>
        <w:tc>
          <w:tcPr>
            <w:tcW w:type="dxa" w:w="5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Validar que los modelos reentrenados mantienen o mejoran las métricas de precisión acordadas.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Sprint 4-5</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3. CRITERIOS DE ENTRADA Y SALIDA</w:t>
      </w:r>
    </w:p>
    <w:p>
      <w:pPr>
        <w:pStyle w:val="Heading2"/>
        <w:spacing w:after="100" w:before="220"/>
      </w:pPr>
      <w:r>
        <w:rPr>
          <w:rFonts w:ascii="Arial" w:cs="Arial" w:eastAsia="Arial" w:hAnsi="Arial"/>
          <w:b/>
          <w:bCs/>
          <w:color w:val="2E5C99"/>
          <w:sz w:val="24"/>
          <w:szCs w:val="24"/>
        </w:rPr>
        <w:t xml:space="preserve">3.1 Criterios de Entrada (para iniciar pruebas)</w:t>
      </w:r>
    </w:p>
    <w:p>
      <w:pPr>
        <w:pStyle w:val="ListParagraph"/>
        <w:numPr>
          <w:ilvl w:val="0"/>
          <w:numId w:val="3"/>
        </w:numPr>
        <w:spacing w:after="80" w:before="40" w:line="260"/>
      </w:pPr>
      <w:r>
        <w:rPr>
          <w:rFonts w:ascii="Arial" w:cs="Arial" w:eastAsia="Arial" w:hAnsi="Arial"/>
          <w:color w:val="1A1A1A"/>
          <w:sz w:val="22"/>
          <w:szCs w:val="22"/>
        </w:rPr>
        <w:t xml:space="preserve">El ambiente de pruebas (staging) está desplegado y funcional con la última versión del sprint.</w:t>
      </w:r>
    </w:p>
    <w:p>
      <w:pPr>
        <w:pStyle w:val="ListParagraph"/>
        <w:numPr>
          <w:ilvl w:val="0"/>
          <w:numId w:val="3"/>
        </w:numPr>
        <w:spacing w:after="80" w:before="40" w:line="260"/>
      </w:pPr>
      <w:r>
        <w:rPr>
          <w:rFonts w:ascii="Arial" w:cs="Arial" w:eastAsia="Arial" w:hAnsi="Arial"/>
          <w:color w:val="1A1A1A"/>
          <w:sz w:val="22"/>
          <w:szCs w:val="22"/>
        </w:rPr>
        <w:t xml:space="preserve">El código fuente del sprint está fusionado en la rama develop y supera el pipeline CI/CD sin errores.</w:t>
      </w:r>
    </w:p>
    <w:p>
      <w:pPr>
        <w:pStyle w:val="ListParagraph"/>
        <w:numPr>
          <w:ilvl w:val="0"/>
          <w:numId w:val="3"/>
        </w:numPr>
        <w:spacing w:after="80" w:before="40" w:line="260"/>
      </w:pPr>
      <w:r>
        <w:rPr>
          <w:rFonts w:ascii="Arial" w:cs="Arial" w:eastAsia="Arial" w:hAnsi="Arial"/>
          <w:color w:val="1A1A1A"/>
          <w:sz w:val="22"/>
          <w:szCs w:val="22"/>
        </w:rPr>
        <w:t xml:space="preserve">La cobertura de pruebas unitarias es igual o superior al 80% según reporte de SonarQube.</w:t>
      </w:r>
    </w:p>
    <w:p>
      <w:pPr>
        <w:pStyle w:val="ListParagraph"/>
        <w:numPr>
          <w:ilvl w:val="0"/>
          <w:numId w:val="3"/>
        </w:numPr>
        <w:spacing w:after="80" w:before="40" w:line="260"/>
      </w:pPr>
      <w:r>
        <w:rPr>
          <w:rFonts w:ascii="Arial" w:cs="Arial" w:eastAsia="Arial" w:hAnsi="Arial"/>
          <w:color w:val="1A1A1A"/>
          <w:sz w:val="22"/>
          <w:szCs w:val="22"/>
        </w:rPr>
        <w:t xml:space="preserve">Los casos de prueba del sprint están documentados y aprobados por el QA Lead.</w:t>
      </w:r>
    </w:p>
    <w:p>
      <w:pPr>
        <w:pStyle w:val="ListParagraph"/>
        <w:numPr>
          <w:ilvl w:val="0"/>
          <w:numId w:val="3"/>
        </w:numPr>
        <w:spacing w:after="80" w:before="40" w:line="260"/>
      </w:pPr>
      <w:r>
        <w:rPr>
          <w:rFonts w:ascii="Arial" w:cs="Arial" w:eastAsia="Arial" w:hAnsi="Arial"/>
          <w:color w:val="1A1A1A"/>
          <w:sz w:val="22"/>
          <w:szCs w:val="22"/>
        </w:rPr>
        <w:t xml:space="preserve">Los datos de prueba están cargados en el ambiente de staging (dataset de prueba aprobado).</w:t>
      </w:r>
    </w:p>
    <w:p>
      <w:pPr>
        <w:pStyle w:val="ListParagraph"/>
        <w:numPr>
          <w:ilvl w:val="0"/>
          <w:numId w:val="3"/>
        </w:numPr>
        <w:spacing w:after="80" w:before="40" w:line="260"/>
      </w:pPr>
      <w:r>
        <w:rPr>
          <w:rFonts w:ascii="Arial" w:cs="Arial" w:eastAsia="Arial" w:hAnsi="Arial"/>
          <w:color w:val="1A1A1A"/>
          <w:sz w:val="22"/>
          <w:szCs w:val="22"/>
        </w:rPr>
        <w:t xml:space="preserve">El SRS-IA-002 y los criterios de aceptación de los RF del sprint están aprobados por INNOVATEC.</w:t>
      </w:r>
    </w:p>
    <w:p>
      <w:pPr>
        <w:pStyle w:val="Heading2"/>
        <w:spacing w:after="100" w:before="220"/>
      </w:pPr>
      <w:r>
        <w:rPr>
          <w:rFonts w:ascii="Arial" w:cs="Arial" w:eastAsia="Arial" w:hAnsi="Arial"/>
          <w:b/>
          <w:bCs/>
          <w:color w:val="2E5C99"/>
          <w:sz w:val="24"/>
          <w:szCs w:val="24"/>
        </w:rPr>
        <w:t xml:space="preserve">3.2 Criterios de Salida (para aprobar pruebas de un sprint)</w:t>
      </w:r>
    </w:p>
    <w:p>
      <w:pPr>
        <w:pStyle w:val="ListParagraph"/>
        <w:numPr>
          <w:ilvl w:val="0"/>
          <w:numId w:val="3"/>
        </w:numPr>
        <w:spacing w:after="80" w:before="40" w:line="260"/>
      </w:pPr>
      <w:r>
        <w:rPr>
          <w:rFonts w:ascii="Arial" w:cs="Arial" w:eastAsia="Arial" w:hAnsi="Arial"/>
          <w:color w:val="1A1A1A"/>
          <w:sz w:val="22"/>
          <w:szCs w:val="22"/>
        </w:rPr>
        <w:t xml:space="preserve">El 100% de los casos de prueba de alta prioridad han sido ejecutados.</w:t>
      </w:r>
    </w:p>
    <w:p>
      <w:pPr>
        <w:pStyle w:val="ListParagraph"/>
        <w:numPr>
          <w:ilvl w:val="0"/>
          <w:numId w:val="3"/>
        </w:numPr>
        <w:spacing w:after="80" w:before="40" w:line="260"/>
      </w:pPr>
      <w:r>
        <w:rPr>
          <w:rFonts w:ascii="Arial" w:cs="Arial" w:eastAsia="Arial" w:hAnsi="Arial"/>
          <w:color w:val="1A1A1A"/>
          <w:sz w:val="22"/>
          <w:szCs w:val="22"/>
        </w:rPr>
        <w:t xml:space="preserve">El 95% o más de los casos de prueba ejecutados tienen resultado Aprobado.</w:t>
      </w:r>
    </w:p>
    <w:p>
      <w:pPr>
        <w:pStyle w:val="ListParagraph"/>
        <w:numPr>
          <w:ilvl w:val="0"/>
          <w:numId w:val="3"/>
        </w:numPr>
        <w:spacing w:after="80" w:before="40" w:line="260"/>
      </w:pPr>
      <w:r>
        <w:rPr>
          <w:rFonts w:ascii="Arial" w:cs="Arial" w:eastAsia="Arial" w:hAnsi="Arial"/>
          <w:color w:val="1A1A1A"/>
          <w:sz w:val="22"/>
          <w:szCs w:val="22"/>
        </w:rPr>
        <w:t xml:space="preserve">No existen defectos abiertos de severidad Crítica o Alta sin resolución documentada.</w:t>
      </w:r>
    </w:p>
    <w:p>
      <w:pPr>
        <w:pStyle w:val="ListParagraph"/>
        <w:numPr>
          <w:ilvl w:val="0"/>
          <w:numId w:val="3"/>
        </w:numPr>
        <w:spacing w:after="80" w:before="40" w:line="260"/>
      </w:pPr>
      <w:r>
        <w:rPr>
          <w:rFonts w:ascii="Arial" w:cs="Arial" w:eastAsia="Arial" w:hAnsi="Arial"/>
          <w:color w:val="1A1A1A"/>
          <w:sz w:val="22"/>
          <w:szCs w:val="22"/>
        </w:rPr>
        <w:t xml:space="preserve">Los defectos de severidad Media tienen plan de resolución con fecha acordada.</w:t>
      </w:r>
    </w:p>
    <w:p>
      <w:pPr>
        <w:pStyle w:val="ListParagraph"/>
        <w:numPr>
          <w:ilvl w:val="0"/>
          <w:numId w:val="3"/>
        </w:numPr>
        <w:spacing w:after="80" w:before="40" w:line="260"/>
      </w:pPr>
      <w:r>
        <w:rPr>
          <w:rFonts w:ascii="Arial" w:cs="Arial" w:eastAsia="Arial" w:hAnsi="Arial"/>
          <w:color w:val="1A1A1A"/>
          <w:sz w:val="22"/>
          <w:szCs w:val="22"/>
        </w:rPr>
        <w:t xml:space="preserve">El reporte de ejecución de pruebas ha sido firmado por el QA Lead y presentado al Gerente de Proyecto.</w:t>
      </w:r>
    </w:p>
    <w:p>
      <w:pPr>
        <w:pStyle w:val="Heading2"/>
        <w:spacing w:after="100" w:before="220"/>
      </w:pPr>
      <w:r>
        <w:rPr>
          <w:rFonts w:ascii="Arial" w:cs="Arial" w:eastAsia="Arial" w:hAnsi="Arial"/>
          <w:b/>
          <w:bCs/>
          <w:color w:val="2E5C99"/>
          <w:sz w:val="24"/>
          <w:szCs w:val="24"/>
        </w:rPr>
        <w:t xml:space="preserve">3.3 Criterios de Suspensión de Pruebas</w:t>
      </w:r>
    </w:p>
    <w:p>
      <w:pPr>
        <w:pStyle w:val="ListParagraph"/>
        <w:numPr>
          <w:ilvl w:val="0"/>
          <w:numId w:val="2"/>
        </w:numPr>
        <w:spacing w:after="80" w:before="40" w:line="260"/>
      </w:pPr>
      <w:r>
        <w:rPr>
          <w:rFonts w:ascii="Arial" w:cs="Arial" w:eastAsia="Arial" w:hAnsi="Arial"/>
          <w:color w:val="1A1A1A"/>
          <w:sz w:val="22"/>
          <w:szCs w:val="22"/>
        </w:rPr>
        <w:t xml:space="preserve">Más del 30% de los casos de prueba ejecutados en un día resultan Bloqueados por defectos críticos de ambiente.</w:t>
      </w:r>
    </w:p>
    <w:p>
      <w:pPr>
        <w:pStyle w:val="ListParagraph"/>
        <w:numPr>
          <w:ilvl w:val="0"/>
          <w:numId w:val="2"/>
        </w:numPr>
        <w:spacing w:after="80" w:before="40" w:line="260"/>
      </w:pPr>
      <w:r>
        <w:rPr>
          <w:rFonts w:ascii="Arial" w:cs="Arial" w:eastAsia="Arial" w:hAnsi="Arial"/>
          <w:color w:val="1A1A1A"/>
          <w:sz w:val="22"/>
          <w:szCs w:val="22"/>
        </w:rPr>
        <w:t xml:space="preserve">El ambiente de staging cae y no puede restaurarse en menos de 4 horas hábiles.</w:t>
      </w:r>
    </w:p>
    <w:p>
      <w:pPr>
        <w:pStyle w:val="ListParagraph"/>
        <w:numPr>
          <w:ilvl w:val="0"/>
          <w:numId w:val="2"/>
        </w:numPr>
        <w:spacing w:after="80" w:before="40" w:line="260"/>
      </w:pPr>
      <w:r>
        <w:rPr>
          <w:rFonts w:ascii="Arial" w:cs="Arial" w:eastAsia="Arial" w:hAnsi="Arial"/>
          <w:color w:val="1A1A1A"/>
          <w:sz w:val="22"/>
          <w:szCs w:val="22"/>
        </w:rPr>
        <w:t xml:space="preserve">Se detecta un defecto que afecta la seguridad de datos personales; se suspende y notifica inmediatamente.</w:t>
      </w:r>
    </w:p>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4. AMBIENTE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Componente</w:t>
            </w:r>
          </w:p>
        </w:tc>
        <w:tc>
          <w:tcPr>
            <w:tcW w:type="dxa" w:w="36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Especificación</w:t>
            </w:r>
          </w:p>
        </w:tc>
        <w:tc>
          <w:tcPr>
            <w:tcW w:type="dxa" w:w="36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Responsable de Configuración</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Servidor Staging</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EC2 t3.large: 2 vCPU, 8 GB RAM, 100 GB SSD. SO: Ubuntu 22.04 LTS.</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 NEXUS AI SOLUTIONS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Base de Datos</w:t>
            </w:r>
          </w:p>
        </w:tc>
        <w:tc>
          <w:tcPr>
            <w:tcW w:type="dxa" w:w="36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PostgreSQL 16 en RDS (instancia db.t3.medium). Dataset de prueba con datos anonimizados.</w:t>
            </w:r>
          </w:p>
        </w:tc>
        <w:tc>
          <w:tcPr>
            <w:tcW w:type="dxa" w:w="36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Desarrollador Backend NEXUS</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Datos de Prueba</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Conjunto de 500 registros de procesos, 50 documentos y 12 usuarios de prueba creados por QA.</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 – Roberto Suárez León</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Herramientas QA</w:t>
            </w:r>
          </w:p>
        </w:tc>
        <w:tc>
          <w:tcPr>
            <w:tcW w:type="dxa" w:w="36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Selenium Grid 4, JMeter 5.6, OWASP ZAP 2.14, Postman, pytest 7.4, SonarQube CE.</w:t>
            </w:r>
          </w:p>
        </w:tc>
        <w:tc>
          <w:tcPr>
            <w:tcW w:type="dxa" w:w="36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 – Roberto Suárez León</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Gestión de Defectos</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Jira Software – Proyecto SIAIA-QA-2025. Todos los bugs se registran aquí.</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 – Roberto Suárez León</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CI/CD</w:t>
            </w:r>
          </w:p>
        </w:tc>
        <w:tc>
          <w:tcPr>
            <w:tcW w:type="dxa" w:w="36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GitHub Actions. El pipeline ejecuta pruebas unitarias automáticamente en cada PR a develop.</w:t>
            </w:r>
          </w:p>
        </w:tc>
        <w:tc>
          <w:tcPr>
            <w:tcW w:type="dxa" w:w="36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NEXUS</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Navegadores</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Chrome 118, Firefox 119, Edge 118, Safari 17. Instalados en máquinas físicas del equipo QA.</w:t>
            </w:r>
          </w:p>
        </w:tc>
        <w:tc>
          <w:tcPr>
            <w:tcW w:type="dxa" w:w="36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NEXUS</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5. CRONOGRAMA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60"/>
        <w:gridCol w:w="1400"/>
        <w:gridCol w:w="140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Fase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Actividad</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Período</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Responsable</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Estado</w:t>
            </w:r>
          </w:p>
        </w:tc>
      </w:tr>
      <w:tr>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Sprint 1</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Pruebas unitarias módulo Autenticación y Auditoría</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15-31 jul 2025</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 Devs</w:t>
            </w:r>
          </w:p>
        </w:tc>
        <w:tc>
          <w:tcPr>
            <w:tcW w:type="dxa" w:w="14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Completado</w:t>
            </w:r>
          </w:p>
        </w:tc>
      </w:tr>
      <w:tr>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Sprint 2</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Pruebas integración Flujos de Trabajo + Dashboard</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1-31 ago 2025</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w:t>
            </w:r>
          </w:p>
        </w:tc>
        <w:tc>
          <w:tcPr>
            <w:tcW w:type="dxa" w:w="14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1D6B3A"/>
                <w:sz w:val="20"/>
                <w:szCs w:val="20"/>
              </w:rPr>
              <w:t xml:space="preserve">Completado</w:t>
            </w:r>
          </w:p>
        </w:tc>
      </w:tr>
      <w:tr>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Sprint 3</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Pruebas sistema NLP + Alertas + Integración API</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1-30 sep 2025</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w:t>
            </w:r>
          </w:p>
        </w:tc>
        <w:tc>
          <w:tcPr>
            <w:tcW w:type="dxa" w:w="14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B45309"/>
                <w:sz w:val="20"/>
                <w:szCs w:val="20"/>
              </w:rPr>
              <w:t xml:space="preserve">En Ejecución</w:t>
            </w:r>
          </w:p>
        </w:tc>
      </w:tr>
      <w:tr>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Sprint 4</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Pruebas Analítica Predictiva + Recomendaciones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1-31 oct 2025</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w:t>
            </w:r>
          </w:p>
        </w:tc>
        <w:tc>
          <w:tcPr>
            <w:tcW w:type="dxa" w:w="14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555555"/>
                <w:sz w:val="20"/>
                <w:szCs w:val="20"/>
              </w:rPr>
              <w:t xml:space="preserve">Pendiente</w:t>
            </w:r>
          </w:p>
        </w:tc>
      </w:tr>
      <w:tr>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Sprint 5</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Pruebas de rendimiento, seguridad y regresión completa</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1-30 nov 2025</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 + DevOps</w:t>
            </w:r>
          </w:p>
        </w:tc>
        <w:tc>
          <w:tcPr>
            <w:tcW w:type="dxa" w:w="14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555555"/>
                <w:sz w:val="20"/>
                <w:szCs w:val="20"/>
              </w:rPr>
              <w:t xml:space="preserve">Pendiente</w:t>
            </w:r>
          </w:p>
        </w:tc>
      </w:tr>
      <w:tr>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Sprint 6</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Pruebas UAT con usuarios INNOVATEC + cierre</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1-15 dic 2025</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 INNOVATEC</w:t>
            </w:r>
          </w:p>
        </w:tc>
        <w:tc>
          <w:tcPr>
            <w:tcW w:type="dxa" w:w="14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555555"/>
                <w:sz w:val="20"/>
                <w:szCs w:val="20"/>
              </w:rPr>
              <w:t xml:space="preserve">Pendiente</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6. ROLES Y RESPONSABILIDADES DEL EQUIPO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Rol</w:t>
            </w:r>
          </w:p>
        </w:tc>
        <w:tc>
          <w:tcPr>
            <w:tcW w:type="dxa" w:w="3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Responsabilidades</w:t>
            </w:r>
          </w:p>
        </w:tc>
        <w:tc>
          <w:tcPr>
            <w:tcW w:type="dxa" w:w="3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Persona Asignada</w:t>
            </w:r>
          </w:p>
        </w:tc>
      </w:tr>
      <w:tr>
        <w:tc>
          <w:tcPr>
            <w:tcW w:type="dxa" w:w="2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QA Lead</w:t>
            </w:r>
          </w:p>
        </w:tc>
        <w:tc>
          <w:tcPr>
            <w:tcW w:type="dxa" w:w="3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Planificación y supervisión de todas las actividades de prueba. Elaboración y aprobación del plan de pruebas. Comunicación de resultados al GP. Gestión del proceso de defectos.</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Roberto Suárez León</w:t>
            </w:r>
          </w:p>
        </w:tc>
      </w:tr>
      <w:tr>
        <w:tc>
          <w:tcPr>
            <w:tcW w:type="dxa" w:w="2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QA Analyst – Funcional</w:t>
            </w:r>
          </w:p>
        </w:tc>
        <w:tc>
          <w:tcPr>
            <w:tcW w:type="dxa" w:w="3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Diseño y ejecución de casos de prueba funcionales y de regresión. Reporte de defectos en Jira.</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María C. Vargas Duarte</w:t>
            </w:r>
          </w:p>
        </w:tc>
      </w:tr>
      <w:tr>
        <w:tc>
          <w:tcPr>
            <w:tcW w:type="dxa" w:w="2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QA Analyst – Automatización</w:t>
            </w:r>
          </w:p>
        </w:tc>
        <w:tc>
          <w:tcPr>
            <w:tcW w:type="dxa" w:w="3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Desarrollo y mantenimiento del framework de automatización (Selenium/Playwright). Integración al pipeline CI/CD.</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Felipe A. Gómez Ríos</w:t>
            </w:r>
          </w:p>
        </w:tc>
      </w:tr>
      <w:tr>
        <w:tc>
          <w:tcPr>
            <w:tcW w:type="dxa" w:w="2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QA Analyst – Rendimiento</w:t>
            </w:r>
          </w:p>
        </w:tc>
        <w:tc>
          <w:tcPr>
            <w:tcW w:type="dxa" w:w="3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Diseño y ejecución de pruebas de carga y estrés con JMeter. Análisis de resultados y recomendaciones.</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Roberto Suárez León</w:t>
            </w:r>
          </w:p>
        </w:tc>
      </w:tr>
      <w:tr>
        <w:tc>
          <w:tcPr>
            <w:tcW w:type="dxa" w:w="2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QA Analyst – Seguridad</w:t>
            </w:r>
          </w:p>
        </w:tc>
        <w:tc>
          <w:tcPr>
            <w:tcW w:type="dxa" w:w="3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Ejecución de análisis OWASP ZAP. Revisión de reporte SonarQube. Coordinación con especialista externo.</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Roberto Suárez León</w:t>
            </w:r>
          </w:p>
        </w:tc>
      </w:tr>
      <w:tr>
        <w:tc>
          <w:tcPr>
            <w:tcW w:type="dxa" w:w="2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Usuarios UAT (INNOVATEC)</w:t>
            </w:r>
          </w:p>
        </w:tc>
        <w:tc>
          <w:tcPr>
            <w:tcW w:type="dxa" w:w="3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Ejecución de casos de aceptación definidos por QA. Validación de que el sistema cumple sus necesidades reales.</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Jefes de Área INNOVATEC</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7. GESTIÓN DE RIESGOS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Riesgo</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Probabilidad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Impacto</w:t>
            </w:r>
          </w:p>
        </w:tc>
        <w:tc>
          <w:tcPr>
            <w:tcW w:type="dxa" w:w="3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Plan de Mitigación</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Ambiente de staging inestable por cambios frecuentes de desarrollo</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Alta</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Alto</w:t>
            </w:r>
          </w:p>
        </w:tc>
        <w:tc>
          <w:tcPr>
            <w:tcW w:type="dxa" w:w="3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Establecer ventanas de despliegue fijas (lunes y jueves). Snapshot del ambiente antes de cada ciclo.</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Disponibilidad limitada de usuarios UAT de INNOVATEC</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Media</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Alto</w:t>
            </w:r>
          </w:p>
        </w:tc>
        <w:tc>
          <w:tcPr>
            <w:tcW w:type="dxa" w:w="3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Acordar agenda de sesiones UAT con 3 semanas de anticipación. Capacitar usuarios sustitutos.</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Datos de prueba insuficientes o no representativos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Media</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Medio</w:t>
            </w:r>
          </w:p>
        </w:tc>
        <w:tc>
          <w:tcPr>
            <w:tcW w:type="dxa" w:w="3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Crear dataset de 500+ registros que cubra todos los escenarios borde antes de Sprint 3.</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Retrasos en desarrollo que comprimen el tiempo de pruebas</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Alta</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Alto</w:t>
            </w:r>
          </w:p>
        </w:tc>
        <w:tc>
          <w:tcPr>
            <w:tcW w:type="dxa" w:w="3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Ejecutar pruebas en paralelo con desarrollo. Automatizar regresión para ejecutar en horas, no días.</w:t>
            </w:r>
          </w:p>
        </w:tc>
      </w:tr>
      <w:tr>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Modelos IA con precisión inferior a la acordada en el SRS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Media</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Alto</w:t>
            </w:r>
          </w:p>
        </w:tc>
        <w:tc>
          <w:tcPr>
            <w:tcW w:type="dxa" w:w="3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Definir criterio de aceptación de modelos desde Sprint 3. Reentrenamiento con más datos si la precisión baja.</w:t>
            </w:r>
          </w:p>
        </w:tc>
      </w:tr>
      <w:tr>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Vulnerabilidades de seguridad críticas descubiertas tarde</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Baja</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Crítico</w:t>
            </w:r>
          </w:p>
        </w:tc>
        <w:tc>
          <w:tcPr>
            <w:tcW w:type="dxa" w:w="3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Incorporar SAST (SonarQube) desde Sprint 1. DAST (OWASP ZAP) desde Sprint 4.</w:t>
            </w:r>
          </w:p>
        </w:tc>
      </w:tr>
    </w:tbl>
    <w:p>
      <w:pPr>
        <w:spacing w:after="0" w:before="0"/>
      </w:pPr>
      <w:r>
        <w:t xml:space="preserve"/>
      </w:r>
    </w:p>
    <w:p>
      <w:pPr>
        <w:spacing w:after="0" w:before="0"/>
      </w:pPr>
      <w:r>
        <w:t xml:space="preserve"/>
      </w:r>
    </w:p>
    <w:p>
      <w:pPr>
        <w:spacing w:before="200"/>
        <w:jc w:val="center"/>
      </w:pPr>
      <w:r>
        <w:rPr>
          <w:rFonts w:ascii="Arial" w:cs="Arial" w:eastAsia="Arial" w:hAnsi="Arial"/>
          <w:i/>
          <w:iCs/>
          <w:color w:val="555555"/>
          <w:sz w:val="20"/>
          <w:szCs w:val="20"/>
        </w:rPr>
        <w:t xml:space="preserve">— Fin del Documento PT-QA-001 —</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Equipo QA  |  2025</w:t>
    </w:r>
    <w:r>
      <w:rPr>
        <w:rFonts w:ascii="Arial" w:cs="Arial" w:eastAsia="Arial" w:hAnsi="Arial"/>
        <w:b/>
        <w:bCs/>
        <w:color w:val="1B2A4A"/>
        <w:sz w:val="18"/>
        <w:szCs w:val="18"/>
      </w:rPr>
      <w:t xml:space="preserve">	Doc. 1 de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QA – Plan de Pruebas</w:t>
    </w:r>
    <w:r>
      <w:rPr>
        <w:rFonts w:ascii="Arial" w:cs="Arial" w:eastAsia="Arial" w:hAnsi="Arial"/>
        <w:color w:val="2E5C99"/>
        <w:sz w:val="18"/>
        <w:szCs w:val="18"/>
      </w:rPr>
      <w:t xml:space="preserve">	PT-QA-001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2026-05-15T17:22:28.822Z</dcterms:created>
  <dcterms:modified xsi:type="dcterms:W3CDTF">2026-05-15T17:22:28.839Z</dcterms:modified>
</cp:coreProperties>
</file>

<file path=docProps/custom.xml><?xml version="1.0" encoding="utf-8"?>
<Properties xmlns="http://schemas.openxmlformats.org/officeDocument/2006/custom-properties" xmlns:vt="http://schemas.openxmlformats.org/officeDocument/2006/docPropsVTypes"/>
</file>