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EXO ABAP : 2 jours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EXO ABAP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Besoin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Ecran de sélection 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Traitement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Récupération des entêtes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Récupération des postes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Récupération des données des pièces de référence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Récupération des factures de référence 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Récupération des pièces FI de référence 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Restitution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Exemple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Exemple référence FI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Exemple référence facture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Aperçu du résultat attendu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Pour Aller plus loin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Annexe technique 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Besoin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Récupération des factures FI ayant un poste client sur une société donnée,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créées depuis une date donnée.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Ecran de sélection : 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65"/>
        <w:gridCol w:w="2266"/>
        <w:gridCol w:w="2266"/>
        <w:tblGridChange w:id="0">
          <w:tblGrid>
            <w:gridCol w:w="2265"/>
            <w:gridCol w:w="2265"/>
            <w:gridCol w:w="2266"/>
            <w:gridCol w:w="2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Sélection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Company Code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Valeur unique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BUKRS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Saisie obligatoire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Document Number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Multiple sélection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BELNR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Date from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Valeur unique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BLDAT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Valeur par défaut 01.01.XXXX avec XXXX l'exercice en cours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760720" cy="141160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Traitement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Récupération des entêtes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Sélection des documents FI Table BKPF ayant une date de création supérieure à la "Date from" (écran de sélection).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L'exercice de recherche des pièces FI sera repris de la "Date from" (dans notre cas =&gt; 2018)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Seules les pièces faisant référence à une facture (BKPF-AWTYP = 'VBRK') ou à une autre pièce FI (BKPF-AWTYP = 'BKPF') seront retenues.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Récupération des postes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Récupération des postes de facture FI (table BSEG) des pièces récupérées au point précédent.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pièce FI ne possède pas de poste client (BSEG-KOART = 'D'), elle ne sera pas retenue (il faudra tout de même </w:t>
      </w:r>
      <w:r w:rsidDel="00000000" w:rsidR="00000000" w:rsidRPr="00000000">
        <w:rPr>
          <w:rtl w:val="0"/>
        </w:rPr>
        <w:t xml:space="preserve">restituer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tous les postes des pièces retenues).</w:t>
      </w:r>
    </w:p>
    <w:p w:rsidR="00000000" w:rsidDel="00000000" w:rsidP="00000000" w:rsidRDefault="00000000" w:rsidRPr="00000000" w14:paraId="0000003A">
      <w:pPr>
        <w:pStyle w:val="Heading2"/>
        <w:rPr>
          <w:highlight w:val="yellow"/>
        </w:rPr>
      </w:pPr>
      <w:bookmarkStart w:colFirst="0" w:colLast="0" w:name="_heading=h.3dy6vkm" w:id="6"/>
      <w:bookmarkEnd w:id="6"/>
      <w:r w:rsidDel="00000000" w:rsidR="00000000" w:rsidRPr="00000000">
        <w:rPr>
          <w:highlight w:val="yellow"/>
          <w:rtl w:val="0"/>
        </w:rPr>
        <w:t xml:space="preserve">Récupération des données des pièces de référence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Les pièces de référence peuvent être de 2 types : facture ou pièce FI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Récupération des factures de référence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Lorsque BKPF-AWTYP = 'VBRK', la pièce de référence (BKPF-AWKEY) est une facture. les informations à récupérer se font dans la table VBRK.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Récupération des pièces FI de référence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Lorsque BKPF-AWTYP = 'BKPF', la pièce de référence (BKPF-AWKEY) est une pièce FI. les informations à récupérer se font dans la table BKPF.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Dans ce cas, la valeur BKPF-AWKEY est la concaténation des champs de la clé de BKPF dans l'ordre suivant : BELNR, BUKRS, GJAHR.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Restitution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Restitution sout format ALV des champs suivants : </w:t>
      </w:r>
    </w:p>
    <w:tbl>
      <w:tblPr>
        <w:tblStyle w:val="Table2"/>
        <w:tblW w:w="6450.0" w:type="dxa"/>
        <w:jc w:val="left"/>
        <w:tblInd w:w="-5.0" w:type="dxa"/>
        <w:tblLayout w:type="fixed"/>
        <w:tblLook w:val="0400"/>
      </w:tblPr>
      <w:tblGrid>
        <w:gridCol w:w="2475"/>
        <w:gridCol w:w="1785"/>
        <w:gridCol w:w="2190"/>
        <w:tblGridChange w:id="0">
          <w:tblGrid>
            <w:gridCol w:w="2475"/>
            <w:gridCol w:w="1785"/>
            <w:gridCol w:w="21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element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Règle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Company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BKPF-BUKRS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Document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BKPF-BELNR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38.55468749999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Fiscal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BKPF-GJAHR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Document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BKPF-BLDAT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Ref. Transactn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BKPF-AWTYP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Reference company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</w:t>
            </w:r>
            <w:r w:rsidDel="00000000" w:rsidR="00000000" w:rsidRPr="00000000">
              <w:rPr>
                <w:rtl w:val="0"/>
              </w:rPr>
              <w:t xml:space="preserve">'AWKEY'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Dans le cas où AWTYP = BKPF</w:t>
              <w:br w:type="textWrapping"/>
              <w:t xml:space="preserve">Les 4 caractères après les 10 premiers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Reference Document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BKPF-AWKEY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Dans le cas où AWTYP = BKPF</w:t>
              <w:br w:type="textWrapping"/>
              <w:t xml:space="preserve">Les 10 premiers caractères de AWKEY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Reference Fiscal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-AWKEY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Dans le cas où AWTYP = BKPF</w:t>
              <w:br w:type="textWrapping"/>
              <w:t xml:space="preserve">les 4 derniers caractères de AWKEY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Reference Facture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BKPF-AWKEY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Dans le cas ou AWTYP = VBRK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Créateur pièce réf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BKPF-USNAM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VBRK-ERNAM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Line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BSEG-BUZEI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Posting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BSEG-BSCHL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Account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BSEG-KOART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BKPF-WAERS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96.82360197368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BSEG-WRBTR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Les couleurs de colonne de l'ALV devront être respectées (rouges et bleues).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Exemple :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Exemple référence FI 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 pièce FI : 2800067180/ATR/2017 (transaction FB03) possède 2 postes clients (items 2 et 3).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5760720" cy="208851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 cliquant sur l'entête </w:t>
      </w:r>
      <w:r w:rsidDel="00000000" w:rsidR="00000000" w:rsidRPr="00000000">
        <w:rPr/>
        <w:drawing>
          <wp:inline distB="0" distT="0" distL="0" distR="0">
            <wp:extent cx="257175" cy="2476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: on visualise sa référence qui une pièce FI (AWTYP = BKPF 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4838700" cy="34575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Exemple référence facture 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 pièce FI 2100078069/ATR/2017 : possède 4 postes clients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760720" cy="171577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4800600" cy="37433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Récupération du créateur de la pièce de référence : VF03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5760720" cy="155384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Aperçu du résultat attendu 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Voici le résultat attendu pour les 2 pièces montrées en exemple</w:t>
      </w:r>
      <w:r w:rsidDel="00000000" w:rsidR="00000000" w:rsidRPr="00000000">
        <w:rPr/>
        <w:drawing>
          <wp:inline distB="0" distT="0" distL="0" distR="0">
            <wp:extent cx="5760410" cy="622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Pour Aller plus loin : + 1 jour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Ajouter un champ de saisie d'un fichier en local pour sauvegarde de l'ALV 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Ajouter un bouton de traitement sur l'ALV 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5760720" cy="184721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Quand le bouton "Export" est activé, un fichier CSV doit être créé avec les données de l'ALV.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Annexe technique 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Visualisation de factures (table VBRK) =&gt; transaction VF03.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Visualisation de pièce FI (table BKPF) =&gt; transaction FB03.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C451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C1294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87757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C451B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Grilledutableau">
    <w:name w:val="Table Grid"/>
    <w:basedOn w:val="TableauNormal"/>
    <w:uiPriority w:val="39"/>
    <w:rsid w:val="00C451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B3324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B3324B"/>
    <w:pPr>
      <w:spacing w:after="100"/>
    </w:pPr>
  </w:style>
  <w:style w:type="character" w:styleId="Lienhypertexte">
    <w:name w:val="Hyperlink"/>
    <w:basedOn w:val="Policepardfaut"/>
    <w:uiPriority w:val="99"/>
    <w:unhideWhenUsed w:val="1"/>
    <w:rsid w:val="00B3324B"/>
    <w:rPr>
      <w:color w:val="0563c1" w:themeColor="hyperlink"/>
      <w:u w:val="single"/>
    </w:rPr>
  </w:style>
  <w:style w:type="character" w:styleId="Titre2Car" w:customStyle="1">
    <w:name w:val="Titre 2 Car"/>
    <w:basedOn w:val="Policepardfaut"/>
    <w:link w:val="Titre2"/>
    <w:uiPriority w:val="9"/>
    <w:rsid w:val="00C1294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877571"/>
    <w:pPr>
      <w:ind w:left="720"/>
      <w:contextualSpacing w:val="1"/>
    </w:pPr>
  </w:style>
  <w:style w:type="character" w:styleId="Titre3Car" w:customStyle="1">
    <w:name w:val="Titre 3 Car"/>
    <w:basedOn w:val="Policepardfaut"/>
    <w:link w:val="Titre3"/>
    <w:uiPriority w:val="9"/>
    <w:rsid w:val="0087757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B55837"/>
    <w:pPr>
      <w:spacing w:after="100"/>
      <w:ind w:left="220"/>
    </w:pPr>
  </w:style>
  <w:style w:type="paragraph" w:styleId="TM3">
    <w:name w:val="toc 3"/>
    <w:basedOn w:val="Normal"/>
    <w:next w:val="Normal"/>
    <w:autoRedefine w:val="1"/>
    <w:uiPriority w:val="39"/>
    <w:unhideWhenUsed w:val="1"/>
    <w:rsid w:val="00B5583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 w:val="1"/>
    <w:rsid w:val="00F121F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F121F5"/>
  </w:style>
  <w:style w:type="paragraph" w:styleId="Pieddepage">
    <w:name w:val="footer"/>
    <w:basedOn w:val="Normal"/>
    <w:link w:val="PieddepageCar"/>
    <w:uiPriority w:val="99"/>
    <w:unhideWhenUsed w:val="1"/>
    <w:rsid w:val="00F121F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F121F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JTk//WWwr01dWsrLBZOd1qKpkQ==">CgMxLjAyCGguZ2pkZ3hzMgloLjMwajB6bGwyCWguMWZvYjl0ZTIJaC4zem55c2g3MgloLjJldDkycDAyCGgudHlqY3d0MgloLjNkeTZ2a20yCWguMXQzaDVzZjIJaC40ZDM0b2c4MgloLjJzOGV5bzEyCWguMTdkcDh2dTIJaC4zcmRjcmpuMgloLjI2aW4xcmcyCGgubG54Yno5MgloLjM1bmt1bjIyCWguMWtzdjR1djgAciExZm01VkhKQklpU0QzVnZMOHRJWXRZYnJadmdkMkF6L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2018-12-13T10:24:00Z</dcterms:created>
  <dc:creator>Vincent PIOVAN</dc:creator>
</cp:coreProperties>
</file>