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rPr/>
      </w:pPr>
      <w:r w:rsidDel="00000000" w:rsidR="00000000" w:rsidRPr="00000000">
        <w:rPr>
          <w:rtl w:val="0"/>
        </w:rPr>
        <w:t xml:space="preserve">Exercice 5 bis : Les pattern (dynamiques)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Les pattern permettent de réutiliser facilement plusieurs des codes ou commentaires qu’on utilise souvent.(Lors de la création d’un programme , lors des modifications)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Résultat attendu:</w:t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but de l’exercice est de créer un pattern dynamique : qui permet de récupérer les valeurs de l’utilisateur , la date , l’heure (automatiquement ! ), on peut aussi demander des prompt (SCR) à l’utilisateur lors de l’appel du pattern.(pour les rentrer dans le pattern automatiquement)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lineRule="auto"/>
    </w:pPr>
    <w:rPr>
      <w:rFonts w:ascii="Times" w:cs="Times" w:eastAsia="Times" w:hAnsi="Times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lineRule="auto"/>
    </w:pPr>
    <w:rPr>
      <w:rFonts w:ascii="Times" w:cs="Times" w:eastAsia="Times" w:hAnsi="Times"/>
      <w:color w:val="3660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