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left"/>
      </w:pPr>
      <w:r>
        <w:rPr>
          <w:rFonts w:ascii="Aptos" w:hAnsi="Aptos" w:eastAsia="Microsoft YaHei"/>
          <w:b/>
          <w:color w:val="000000"/>
          <w:sz w:val="44"/>
        </w:rPr>
        <w:t>H1-2 Humanoid Whole-Body Control FYP Project Context and Session Handoff Guide</w:t>
      </w:r>
    </w:p>
    <w:p>
      <w:r>
        <w:t>Version: v1.7</w:t>
      </w:r>
    </w:p>
    <w:p>
      <w:r>
        <w:t>Updated: 2026-09-20</w:t>
      </w:r>
    </w:p>
    <w:p>
      <w:r>
        <w:rPr>
          <w:rFonts w:ascii="Aptos" w:hAnsi="Aptos" w:eastAsia="Microsoft YaHei"/>
          <w:b w:val="0"/>
          <w:color w:val="000000"/>
          <w:sz w:val="21"/>
        </w:rPr>
        <w:t>Purpose: Help a new AI session, collaborating agent, or project member understand the project scope, current status, experimental constraints, and next task quickly.</w:t>
      </w:r>
    </w:p>
    <w:p>
      <w:pPr>
        <w:pStyle w:val="Heading1"/>
        <w:keepNext/>
      </w:pPr>
      <w:r>
        <w:rPr>
          <w:rFonts w:ascii="Aptos" w:hAnsi="Aptos" w:eastAsia="Microsoft YaHei"/>
          <w:b/>
          <w:color w:val="000000"/>
          <w:sz w:val="30"/>
        </w:rPr>
        <w:t>1 How to Use This File</w:t>
      </w:r>
    </w:p>
    <w:p>
      <w:r>
        <w:rPr>
          <w:rFonts w:ascii="Aptos" w:hAnsi="Aptos" w:eastAsia="Microsoft YaHei"/>
          <w:b w:val="0"/>
          <w:color w:val="000000"/>
          <w:sz w:val="21"/>
        </w:rPr>
        <w:t>This file is the project's single source of truth. At the start of each new session, provide this file together with the relevant code, configurations, logs, errors, and papers. The AI must read this file first and then inspect the actual repository. It must not infer implementation status only from previous conversations.</w:t>
      </w:r>
    </w:p>
    <w:p>
      <w:r>
        <w:rPr>
          <w:rFonts w:ascii="Aptos" w:hAnsi="Aptos" w:eastAsia="Microsoft YaHei"/>
          <w:b w:val="0"/>
          <w:color w:val="000000"/>
          <w:sz w:val="21"/>
        </w:rPr>
        <w:t>At the end of each session, update four sections: current completion status, verified facts, unresolved issues, and the next-session task. Stable research decisions should change only after supervisor approval or experimental evidence.</w:t>
      </w:r>
    </w:p>
    <w:p>
      <w:pPr>
        <w:pStyle w:val="Heading1"/>
        <w:keepNext/>
      </w:pPr>
      <w:r>
        <w:rPr>
          <w:rFonts w:ascii="Aptos" w:hAnsi="Aptos" w:eastAsia="Microsoft YaHei"/>
          <w:b/>
          <w:color w:val="000000"/>
          <w:sz w:val="30"/>
        </w:rPr>
        <w:t>2 Project Overview</w:t>
      </w:r>
    </w:p>
    <w:p>
      <w:pPr>
        <w:pStyle w:val="ListBullet"/>
      </w:pPr>
      <w:r>
        <w:rPr>
          <w:rFonts w:ascii="Aptos" w:hAnsi="Aptos" w:eastAsia="Microsoft YaHei"/>
          <w:b w:val="0"/>
          <w:color w:val="000000"/>
          <w:sz w:val="21"/>
        </w:rPr>
        <w:t>Project title: Humanoid Whole-Body Balance and Target-Reaching Control via Reinforcement Learning and Sim-to-Real Transfer</w:t>
      </w:r>
    </w:p>
    <w:p>
      <w:pPr>
        <w:pStyle w:val="ListBullet"/>
      </w:pPr>
      <w:r>
        <w:rPr>
          <w:rFonts w:ascii="Aptos" w:hAnsi="Aptos" w:eastAsia="Microsoft YaHei"/>
          <w:b w:val="0"/>
          <w:color w:val="000000"/>
          <w:sz w:val="21"/>
        </w:rPr>
        <w:t>Project type: XJTLU Robotics Engineering Final Year Project</w:t>
      </w:r>
    </w:p>
    <w:p>
      <w:pPr>
        <w:pStyle w:val="ListBullet"/>
      </w:pPr>
      <w:r>
        <w:rPr>
          <w:rFonts w:ascii="Aptos" w:hAnsi="Aptos" w:eastAsia="Microsoft YaHei"/>
          <w:b w:val="0"/>
          <w:color w:val="000000"/>
          <w:sz w:val="21"/>
        </w:rPr>
        <w:t>Robot: Unitree H1-2</w:t>
      </w:r>
    </w:p>
    <w:p>
      <w:pPr>
        <w:pStyle w:val="ListBullet"/>
      </w:pPr>
      <w:r>
        <w:rPr>
          <w:rFonts w:ascii="Aptos" w:hAnsi="Aptos" w:eastAsia="Microsoft YaHei"/>
          <w:b w:val="0"/>
          <w:color w:val="000000"/>
          <w:sz w:val="21"/>
        </w:rPr>
        <w:t>Possible later extension: Dexterity Hand; not part of the core simulation task</w:t>
      </w:r>
    </w:p>
    <w:p>
      <w:pPr>
        <w:pStyle w:val="ListBullet"/>
      </w:pPr>
      <w:r>
        <w:rPr>
          <w:rFonts w:ascii="Aptos" w:hAnsi="Aptos" w:eastAsia="Microsoft YaHei"/>
          <w:b w:val="0"/>
          <w:color w:val="000000"/>
          <w:sz w:val="21"/>
        </w:rPr>
        <w:t>Main workload: approximately 80 percent simulation development, training, and evaluation</w:t>
      </w:r>
    </w:p>
    <w:p>
      <w:pPr>
        <w:pStyle w:val="ListBullet"/>
      </w:pPr>
      <w:r>
        <w:rPr>
          <w:rFonts w:ascii="Aptos" w:hAnsi="Aptos" w:eastAsia="Microsoft YaHei"/>
          <w:b w:val="0"/>
          <w:color w:val="000000"/>
          <w:sz w:val="21"/>
        </w:rPr>
        <w:t>Sim-to-Real: late-stage, small-scale safety validation rather than the current priority</w:t>
      </w:r>
    </w:p>
    <w:p>
      <w:pPr>
        <w:pStyle w:val="ListBullet"/>
      </w:pPr>
      <w:r>
        <w:rPr>
          <w:rFonts w:ascii="Aptos" w:hAnsi="Aptos" w:eastAsia="Microsoft YaHei"/>
          <w:b w:val="0"/>
          <w:color w:val="000000"/>
          <w:sz w:val="21"/>
        </w:rPr>
        <w:t>Preferred simulator: Isaac Lab; exact version, asset source, and training environment must be recorded during implementation</w:t>
      </w:r>
    </w:p>
    <w:p>
      <w:pPr>
        <w:pStyle w:val="ListBullet"/>
      </w:pPr>
      <w:r>
        <w:rPr>
          <w:rFonts w:ascii="Aptos" w:hAnsi="Aptos" w:eastAsia="Microsoft YaHei"/>
          <w:b w:val="0"/>
          <w:color w:val="000000"/>
          <w:sz w:val="21"/>
        </w:rPr>
        <w:t>Research position: integrate and systematically compare established methods; do not claim a new RL algorithm</w:t>
      </w:r>
    </w:p>
    <w:p>
      <w:pPr>
        <w:pStyle w:val="Heading1"/>
        <w:keepNext/>
      </w:pPr>
      <w:r>
        <w:rPr>
          <w:rFonts w:ascii="Aptos" w:hAnsi="Aptos" w:eastAsia="Microsoft YaHei"/>
          <w:b/>
          <w:color w:val="000000"/>
          <w:sz w:val="30"/>
        </w:rPr>
        <w:t>3 Research Problem</w:t>
      </w:r>
    </w:p>
    <w:p>
      <w:r>
        <w:rPr>
          <w:rFonts w:ascii="Aptos" w:hAnsi="Aptos" w:eastAsia="Microsoft YaHei"/>
          <w:b w:val="0"/>
          <w:color w:val="000000"/>
          <w:sz w:val="21"/>
        </w:rPr>
        <w:t>The H1-2 must remain standing while one arm reaches a three-dimensional target. Arm motion changes whole-body mass distribution and dynamic stability. A unified PPO policy must optimize upper-body reaching and lower-body balance at the same time. These objectives may compete, creating credit-assignment difficulty and local optima. A policy may learn reaching while sacrificing balance, or remain stable while ignoring the target.</w:t>
      </w:r>
    </w:p>
    <w:p>
      <w:r>
        <w:rPr>
          <w:rFonts w:ascii="Aptos" w:hAnsi="Aptos" w:eastAsia="Microsoft YaHei"/>
          <w:b w:val="0"/>
          <w:color w:val="000000"/>
          <w:sz w:val="21"/>
        </w:rPr>
        <w:t>The project asks whether Advantage Mixing and alternative balance rewards improve upper-lower-body coordination under target variation, payload changes, and external disturbances. The primary outcomes are task success, end-effector accuracy, balance, disturbance recovery, and training efficiency.</w:t>
      </w:r>
    </w:p>
    <w:p>
      <w:pPr>
        <w:pStyle w:val="Heading1"/>
        <w:keepNext/>
      </w:pPr>
      <w:r>
        <w:rPr>
          <w:rFonts w:ascii="Aptos" w:hAnsi="Aptos" w:eastAsia="Microsoft YaHei"/>
          <w:b/>
          <w:color w:val="000000"/>
          <w:sz w:val="30"/>
        </w:rPr>
        <w:t>4 Core Task Definition</w:t>
      </w:r>
    </w:p>
    <w:p>
      <w:r>
        <w:rPr>
          <w:rFonts w:ascii="Aptos" w:hAnsi="Aptos" w:eastAsia="Microsoft YaHei"/>
          <w:b w:val="0"/>
          <w:color w:val="000000"/>
          <w:sz w:val="21"/>
        </w:rPr>
        <w:t>The robot stands with both feet fixed and reaches a three-dimensional target using a specified arm. The first stage uses the right arm and position targets only. Walking, grasping, and visual target detection are outside the core task.</w:t>
      </w:r>
    </w:p>
    <w:p>
      <w:r>
        <w:rPr>
          <w:rFonts w:ascii="Aptos" w:hAnsi="Aptos" w:eastAsia="Microsoft YaHei"/>
          <w:b w:val="0"/>
          <w:color w:val="000000"/>
          <w:sz w:val="21"/>
        </w:rPr>
        <w:t>Target difficulty increases from near frontal targets to varying heights and directions, workspace boundaries, payload variation, external pushes, and out-of-distribution dynamics.</w:t>
      </w:r>
    </w:p>
    <w:p>
      <w:r>
        <w:rPr>
          <w:rFonts w:ascii="Aptos" w:hAnsi="Aptos" w:eastAsia="Microsoft YaHei"/>
          <w:b w:val="0"/>
          <w:color w:val="000000"/>
          <w:sz w:val="21"/>
        </w:rPr>
        <w:t>An episode counts as successful only if the end-effector error is below a threshold, the robot does not fall, posture and foot-contact constraints remain safe, and the success condition is held for a specified duration.</w:t>
      </w:r>
    </w:p>
    <w:p>
      <w:pPr>
        <w:pStyle w:val="Heading1"/>
        <w:keepNext/>
      </w:pPr>
      <w:r>
        <w:rPr>
          <w:rFonts w:ascii="Aptos" w:hAnsi="Aptos" w:eastAsia="Microsoft YaHei"/>
          <w:b/>
          <w:color w:val="000000"/>
          <w:sz w:val="30"/>
        </w:rPr>
        <w:t>5 Experimental Methods</w:t>
      </w:r>
    </w:p>
    <w:p>
      <w:r>
        <w:rPr>
          <w:rFonts w:ascii="Aptos" w:hAnsi="Aptos" w:eastAsia="Microsoft YaHei"/>
          <w:b w:val="0"/>
          <w:color w:val="000000"/>
          <w:sz w:val="21"/>
        </w:rPr>
        <w:t>All RL groups must share the same robot model, observation and action spaces, network capacity, training budget, randomization ranges, curriculum, and evaluation scenarios. Change one experimental factor at a time.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trPr>
        <w:tc>
          <w:tcPr>
            <w:tcW w:type="dxa" w:w="1152"/>
            <w:vAlign w:val="center"/>
            <w:tcMar>
              <w:top w:w="110" w:type="dxa"/>
              <w:start w:w="130" w:type="dxa"/>
              <w:bottom w:w="110" w:type="dxa"/>
              <w:end w:w="130" w:type="dxa"/>
            </w:tcMar>
            <w:shd w:fill="1F4E78"/>
          </w:tcPr>
          <w:p>
            <w:pPr>
              <w:spacing w:after="0" w:line="252" w:lineRule="auto"/>
            </w:pPr>
            <w:r>
              <w:rPr>
                <w:rFonts w:ascii="Aptos" w:hAnsi="Aptos" w:eastAsia="Microsoft YaHei"/>
                <w:b/>
                <w:color w:val="FFFFFF"/>
                <w:sz w:val="19"/>
              </w:rPr>
              <w:t>ID</w:t>
            </w:r>
          </w:p>
        </w:tc>
        <w:tc>
          <w:tcPr>
            <w:tcW w:type="dxa" w:w="3096"/>
            <w:vAlign w:val="center"/>
            <w:tcMar>
              <w:top w:w="110" w:type="dxa"/>
              <w:start w:w="130" w:type="dxa"/>
              <w:bottom w:w="110" w:type="dxa"/>
              <w:end w:w="130" w:type="dxa"/>
            </w:tcMar>
            <w:shd w:fill="1F4E78"/>
          </w:tcPr>
          <w:p>
            <w:pPr>
              <w:spacing w:after="0" w:line="252" w:lineRule="auto"/>
            </w:pPr>
            <w:r>
              <w:rPr>
                <w:rFonts w:ascii="Aptos" w:hAnsi="Aptos" w:eastAsia="Microsoft YaHei"/>
                <w:b/>
                <w:color w:val="FFFFFF"/>
                <w:sz w:val="19"/>
              </w:rPr>
              <w:t>Method</w:t>
            </w:r>
          </w:p>
        </w:tc>
        <w:tc>
          <w:tcPr>
            <w:tcW w:type="dxa" w:w="5832"/>
            <w:vAlign w:val="center"/>
            <w:tcMar>
              <w:top w:w="110" w:type="dxa"/>
              <w:start w:w="130" w:type="dxa"/>
              <w:bottom w:w="110" w:type="dxa"/>
              <w:end w:w="130" w:type="dxa"/>
            </w:tcMar>
            <w:shd w:fill="1F4E78"/>
          </w:tcPr>
          <w:p>
            <w:pPr>
              <w:spacing w:after="0" w:line="252" w:lineRule="auto"/>
            </w:pPr>
            <w:r>
              <w:rPr>
                <w:rFonts w:ascii="Aptos" w:hAnsi="Aptos" w:eastAsia="Microsoft YaHei"/>
                <w:b/>
                <w:color w:val="FFFFFF"/>
                <w:sz w:val="19"/>
              </w:rPr>
              <w:t>Purpose</w:t>
            </w:r>
          </w:p>
        </w:tc>
      </w:tr>
      <w:tr>
        <w:tc>
          <w:tcPr>
            <w:tcW w:type="dxa" w:w="1152"/>
            <w:vAlign w:val="center"/>
            <w:tcMar>
              <w:top w:w="110" w:type="dxa"/>
              <w:start w:w="130" w:type="dxa"/>
              <w:bottom w:w="110" w:type="dxa"/>
              <w:end w:w="130" w:type="dxa"/>
            </w:tcMar>
          </w:tcPr>
          <w:p>
            <w:pPr>
              <w:spacing w:after="0" w:line="252" w:lineRule="auto"/>
            </w:pPr>
            <w:r>
              <w:rPr>
                <w:rFonts w:ascii="Aptos" w:hAnsi="Aptos" w:eastAsia="Microsoft YaHei"/>
                <w:b w:val="0"/>
                <w:color w:val="000000"/>
                <w:sz w:val="19"/>
              </w:rPr>
              <w:t>B0</w:t>
            </w:r>
          </w:p>
        </w:tc>
        <w:tc>
          <w:tcPr>
            <w:tcW w:type="dxa" w:w="3096"/>
            <w:vAlign w:val="center"/>
            <w:tcMar>
              <w:top w:w="110" w:type="dxa"/>
              <w:start w:w="130" w:type="dxa"/>
              <w:bottom w:w="110" w:type="dxa"/>
              <w:end w:w="130" w:type="dxa"/>
            </w:tcMar>
          </w:tcPr>
          <w:p>
            <w:pPr>
              <w:spacing w:after="0" w:line="252" w:lineRule="auto"/>
            </w:pPr>
            <w:r>
              <w:rPr>
                <w:rFonts w:ascii="Aptos" w:hAnsi="Aptos" w:eastAsia="Microsoft YaHei"/>
                <w:b w:val="0"/>
                <w:color w:val="000000"/>
                <w:sz w:val="19"/>
              </w:rPr>
              <w:t>H1 standing controller plus single-arm IK and PD</w:t>
            </w:r>
          </w:p>
        </w:tc>
        <w:tc>
          <w:tcPr>
            <w:tcW w:type="dxa" w:w="5832"/>
            <w:vAlign w:val="center"/>
            <w:tcMar>
              <w:top w:w="110" w:type="dxa"/>
              <w:start w:w="130" w:type="dxa"/>
              <w:bottom w:w="110" w:type="dxa"/>
              <w:end w:w="130" w:type="dxa"/>
            </w:tcMar>
          </w:tcPr>
          <w:p>
            <w:pPr>
              <w:spacing w:after="0" w:line="252" w:lineRule="auto"/>
            </w:pPr>
            <w:r>
              <w:rPr>
                <w:rFonts w:ascii="Aptos" w:hAnsi="Aptos" w:eastAsia="Microsoft YaHei"/>
                <w:b w:val="0"/>
                <w:color w:val="000000"/>
                <w:sz w:val="19"/>
              </w:rPr>
              <w:t>Engineering baseline; validates task geometry and reveals classical-control failure modes</w:t>
            </w:r>
          </w:p>
        </w:tc>
      </w:tr>
      <w:tr>
        <w:tc>
          <w:tcPr>
            <w:tcW w:type="dxa" w:w="1152"/>
            <w:vAlign w:val="center"/>
            <w:tcMar>
              <w:top w:w="110" w:type="dxa"/>
              <w:start w:w="130" w:type="dxa"/>
              <w:bottom w:w="110" w:type="dxa"/>
              <w:end w:w="130" w:type="dxa"/>
            </w:tcMar>
            <w:shd w:fill="EDF4F8"/>
          </w:tcPr>
          <w:p>
            <w:pPr>
              <w:spacing w:after="0" w:line="252" w:lineRule="auto"/>
            </w:pPr>
            <w:r>
              <w:rPr>
                <w:rFonts w:ascii="Aptos" w:hAnsi="Aptos" w:eastAsia="Microsoft YaHei"/>
                <w:b w:val="0"/>
                <w:color w:val="000000"/>
                <w:sz w:val="19"/>
              </w:rPr>
              <w:t>B1</w:t>
            </w:r>
          </w:p>
        </w:tc>
        <w:tc>
          <w:tcPr>
            <w:tcW w:type="dxa" w:w="3096"/>
            <w:vAlign w:val="center"/>
            <w:tcMar>
              <w:top w:w="110" w:type="dxa"/>
              <w:start w:w="130" w:type="dxa"/>
              <w:bottom w:w="110" w:type="dxa"/>
              <w:end w:w="130" w:type="dxa"/>
            </w:tcMar>
            <w:shd w:fill="EDF4F8"/>
          </w:tcPr>
          <w:p>
            <w:pPr>
              <w:spacing w:after="0" w:line="252" w:lineRule="auto"/>
            </w:pPr>
            <w:r>
              <w:rPr>
                <w:rFonts w:ascii="Aptos" w:hAnsi="Aptos" w:eastAsia="Microsoft YaHei"/>
                <w:b w:val="0"/>
                <w:color w:val="000000"/>
                <w:sz w:val="19"/>
              </w:rPr>
              <w:t>Vanilla Unified PPO</w:t>
            </w:r>
          </w:p>
        </w:tc>
        <w:tc>
          <w:tcPr>
            <w:tcW w:type="dxa" w:w="5832"/>
            <w:vAlign w:val="center"/>
            <w:tcMar>
              <w:top w:w="110" w:type="dxa"/>
              <w:start w:w="130" w:type="dxa"/>
              <w:bottom w:w="110" w:type="dxa"/>
              <w:end w:w="130" w:type="dxa"/>
            </w:tcMar>
            <w:shd w:fill="EDF4F8"/>
          </w:tcPr>
          <w:p>
            <w:pPr>
              <w:spacing w:after="0" w:line="252" w:lineRule="auto"/>
            </w:pPr>
            <w:r>
              <w:rPr>
                <w:rFonts w:ascii="Aptos" w:hAnsi="Aptos" w:eastAsia="Microsoft YaHei"/>
                <w:b w:val="0"/>
                <w:color w:val="000000"/>
                <w:sz w:val="19"/>
              </w:rPr>
              <w:t>One PPO policy outputs whole-body actions without Advantage Mixing</w:t>
            </w:r>
          </w:p>
        </w:tc>
      </w:tr>
      <w:tr>
        <w:tc>
          <w:tcPr>
            <w:tcW w:type="dxa" w:w="1152"/>
            <w:vAlign w:val="center"/>
            <w:tcMar>
              <w:top w:w="110" w:type="dxa"/>
              <w:start w:w="130" w:type="dxa"/>
              <w:bottom w:w="110" w:type="dxa"/>
              <w:end w:w="130" w:type="dxa"/>
            </w:tcMar>
          </w:tcPr>
          <w:p>
            <w:pPr>
              <w:spacing w:after="0" w:line="252" w:lineRule="auto"/>
            </w:pPr>
            <w:r>
              <w:rPr>
                <w:rFonts w:ascii="Aptos" w:hAnsi="Aptos" w:eastAsia="Microsoft YaHei"/>
                <w:b w:val="0"/>
                <w:color w:val="000000"/>
                <w:sz w:val="19"/>
              </w:rPr>
              <w:t>B2</w:t>
            </w:r>
          </w:p>
        </w:tc>
        <w:tc>
          <w:tcPr>
            <w:tcW w:type="dxa" w:w="3096"/>
            <w:vAlign w:val="center"/>
            <w:tcMar>
              <w:top w:w="110" w:type="dxa"/>
              <w:start w:w="130" w:type="dxa"/>
              <w:bottom w:w="110" w:type="dxa"/>
              <w:end w:w="130" w:type="dxa"/>
            </w:tcMar>
          </w:tcPr>
          <w:p>
            <w:pPr>
              <w:spacing w:after="0" w:line="252" w:lineRule="auto"/>
            </w:pPr>
            <w:r>
              <w:rPr>
                <w:rFonts w:ascii="Aptos" w:hAnsi="Aptos" w:eastAsia="Microsoft YaHei"/>
                <w:b w:val="0"/>
                <w:color w:val="000000"/>
                <w:sz w:val="19"/>
              </w:rPr>
              <w:t>PPO plus original linear Advantage Mixing</w:t>
            </w:r>
          </w:p>
        </w:tc>
        <w:tc>
          <w:tcPr>
            <w:tcW w:type="dxa" w:w="5832"/>
            <w:vAlign w:val="center"/>
            <w:tcMar>
              <w:top w:w="110" w:type="dxa"/>
              <w:start w:w="130" w:type="dxa"/>
              <w:bottom w:w="110" w:type="dxa"/>
              <w:end w:w="130" w:type="dxa"/>
            </w:tcMar>
          </w:tcPr>
          <w:p>
            <w:pPr>
              <w:spacing w:after="0" w:line="252" w:lineRule="auto"/>
            </w:pPr>
            <w:r>
              <w:rPr>
                <w:rFonts w:ascii="Aptos" w:hAnsi="Aptos" w:eastAsia="Microsoft YaHei"/>
                <w:b w:val="0"/>
                <w:color w:val="000000"/>
                <w:sz w:val="19"/>
              </w:rPr>
              <w:t>Tests whether Advantage Mixing improves coordination and learning efficiency</w:t>
            </w:r>
          </w:p>
        </w:tc>
      </w:tr>
      <w:tr>
        <w:tc>
          <w:tcPr>
            <w:tcW w:type="dxa" w:w="1152"/>
            <w:vAlign w:val="center"/>
            <w:tcMar>
              <w:top w:w="110" w:type="dxa"/>
              <w:start w:w="130" w:type="dxa"/>
              <w:bottom w:w="110" w:type="dxa"/>
              <w:end w:w="130" w:type="dxa"/>
            </w:tcMar>
            <w:shd w:fill="EDF4F8"/>
          </w:tcPr>
          <w:p>
            <w:pPr>
              <w:spacing w:after="0" w:line="252" w:lineRule="auto"/>
            </w:pPr>
            <w:r>
              <w:rPr>
                <w:rFonts w:ascii="Aptos" w:hAnsi="Aptos" w:eastAsia="Microsoft YaHei"/>
                <w:b w:val="0"/>
                <w:color w:val="000000"/>
                <w:sz w:val="19"/>
              </w:rPr>
              <w:t>B3</w:t>
            </w:r>
          </w:p>
        </w:tc>
        <w:tc>
          <w:tcPr>
            <w:tcW w:type="dxa" w:w="3096"/>
            <w:vAlign w:val="center"/>
            <w:tcMar>
              <w:top w:w="110" w:type="dxa"/>
              <w:start w:w="130" w:type="dxa"/>
              <w:bottom w:w="110" w:type="dxa"/>
              <w:end w:w="130" w:type="dxa"/>
            </w:tcMar>
            <w:shd w:fill="EDF4F8"/>
          </w:tcPr>
          <w:p>
            <w:pPr>
              <w:spacing w:after="0" w:line="252" w:lineRule="auto"/>
            </w:pPr>
            <w:r>
              <w:rPr>
                <w:rFonts w:ascii="Aptos" w:hAnsi="Aptos" w:eastAsia="Microsoft YaHei"/>
                <w:b w:val="0"/>
                <w:color w:val="000000"/>
                <w:sz w:val="19"/>
              </w:rPr>
              <w:t>B2 plus CoM-based balance reward</w:t>
            </w:r>
          </w:p>
        </w:tc>
        <w:tc>
          <w:tcPr>
            <w:tcW w:type="dxa" w:w="5832"/>
            <w:vAlign w:val="center"/>
            <w:tcMar>
              <w:top w:w="110" w:type="dxa"/>
              <w:start w:w="130" w:type="dxa"/>
              <w:bottom w:w="110" w:type="dxa"/>
              <w:end w:w="130" w:type="dxa"/>
            </w:tcMar>
            <w:shd w:fill="EDF4F8"/>
          </w:tcPr>
          <w:p>
            <w:pPr>
              <w:spacing w:after="0" w:line="252" w:lineRule="auto"/>
            </w:pPr>
            <w:r>
              <w:rPr>
                <w:rFonts w:ascii="Aptos" w:hAnsi="Aptos" w:eastAsia="Microsoft YaHei"/>
                <w:b w:val="0"/>
                <w:color w:val="000000"/>
                <w:sz w:val="19"/>
              </w:rPr>
              <w:t>Evaluates a center-of-mass balance objective</w:t>
            </w:r>
          </w:p>
        </w:tc>
      </w:tr>
      <w:tr>
        <w:tc>
          <w:tcPr>
            <w:tcW w:type="dxa" w:w="1152"/>
            <w:vAlign w:val="center"/>
            <w:tcMar>
              <w:top w:w="110" w:type="dxa"/>
              <w:start w:w="130" w:type="dxa"/>
              <w:bottom w:w="110" w:type="dxa"/>
              <w:end w:w="130" w:type="dxa"/>
            </w:tcMar>
          </w:tcPr>
          <w:p>
            <w:pPr>
              <w:spacing w:after="0" w:line="252" w:lineRule="auto"/>
            </w:pPr>
            <w:r>
              <w:rPr>
                <w:rFonts w:ascii="Aptos" w:hAnsi="Aptos" w:eastAsia="Microsoft YaHei"/>
                <w:b w:val="0"/>
                <w:color w:val="000000"/>
                <w:sz w:val="19"/>
              </w:rPr>
              <w:t>B4</w:t>
            </w:r>
          </w:p>
        </w:tc>
        <w:tc>
          <w:tcPr>
            <w:tcW w:type="dxa" w:w="3096"/>
            <w:vAlign w:val="center"/>
            <w:tcMar>
              <w:top w:w="110" w:type="dxa"/>
              <w:start w:w="130" w:type="dxa"/>
              <w:bottom w:w="110" w:type="dxa"/>
              <w:end w:w="130" w:type="dxa"/>
            </w:tcMar>
          </w:tcPr>
          <w:p>
            <w:pPr>
              <w:spacing w:after="0" w:line="252" w:lineRule="auto"/>
            </w:pPr>
            <w:r>
              <w:rPr>
                <w:rFonts w:ascii="Aptos" w:hAnsi="Aptos" w:eastAsia="Microsoft YaHei"/>
                <w:b w:val="0"/>
                <w:color w:val="000000"/>
                <w:sz w:val="19"/>
              </w:rPr>
              <w:t>B2 plus ZMP-based dynamic-balance reward</w:t>
            </w:r>
          </w:p>
        </w:tc>
        <w:tc>
          <w:tcPr>
            <w:tcW w:type="dxa" w:w="5832"/>
            <w:vAlign w:val="center"/>
            <w:tcMar>
              <w:top w:w="110" w:type="dxa"/>
              <w:start w:w="130" w:type="dxa"/>
              <w:bottom w:w="110" w:type="dxa"/>
              <w:end w:w="130" w:type="dxa"/>
            </w:tcMar>
          </w:tcPr>
          <w:p>
            <w:pPr>
              <w:spacing w:after="0" w:line="252" w:lineRule="auto"/>
            </w:pPr>
            <w:r>
              <w:rPr>
                <w:rFonts w:ascii="Aptos" w:hAnsi="Aptos" w:eastAsia="Microsoft YaHei"/>
                <w:b w:val="0"/>
                <w:color w:val="000000"/>
                <w:sz w:val="19"/>
              </w:rPr>
              <w:t>Main integrated framework; evaluates ZMP reward for dynamic reaching</w:t>
            </w:r>
          </w:p>
        </w:tc>
      </w:tr>
    </w:tbl>
    <w:p>
      <w:pPr>
        <w:spacing w:after="20"/>
      </w:pPr>
    </w:p>
    <w:p>
      <w:r>
        <w:rPr>
          <w:rFonts w:ascii="Aptos" w:hAnsi="Aptos" w:eastAsia="Microsoft YaHei"/>
          <w:b w:val="0"/>
          <w:color w:val="000000"/>
          <w:sz w:val="21"/>
        </w:rPr>
        <w:t>Vanilla Unified PPO means a unified whole-body policy trained with standard PPO updates. Advantage Mixing still uses PPO; it changes how task-specific advantages are assigned to action groups.</w:t>
      </w:r>
    </w:p>
    <w:p>
      <w:pPr>
        <w:pStyle w:val="Heading1"/>
        <w:keepNext/>
      </w:pPr>
      <w:r>
        <w:rPr>
          <w:rFonts w:ascii="Aptos" w:hAnsi="Aptos" w:eastAsia="Microsoft YaHei"/>
          <w:b/>
          <w:color w:val="000000"/>
          <w:sz w:val="30"/>
        </w:rPr>
        <w:t>6 Advantage Mixing Specification</w:t>
      </w:r>
    </w:p>
    <w:p>
      <w:r>
        <w:rPr>
          <w:rFonts w:ascii="Aptos" w:hAnsi="Aptos" w:eastAsia="Microsoft YaHei"/>
          <w:b w:val="0"/>
          <w:color w:val="000000"/>
          <w:sz w:val="21"/>
        </w:rPr>
        <w:t>At minimum, separate task returns into reaching and balance components:</w:t>
      </w:r>
    </w:p>
    <w:p>
      <w:pPr>
        <w:spacing w:before="60" w:after="140" w:line="240" w:lineRule="auto"/>
        <w:ind w:left="360" w:right="216"/>
        <w:shd w:fill="F3F4F6"/>
      </w:pPr>
      <w:r>
        <w:rPr>
          <w:rFonts w:ascii="Consolas" w:hAnsi="Consolas" w:eastAsia="Microsoft YaHei"/>
          <w:color w:val="1F2937"/>
          <w:sz w:val="17"/>
        </w:rPr>
        <w:t>A_reach</w:t>
        <w:br/>
        <w:t>A_balance</w:t>
      </w:r>
    </w:p>
    <w:p>
      <w:r>
        <w:rPr>
          <w:rFonts w:ascii="Aptos" w:hAnsi="Aptos" w:eastAsia="Microsoft YaHei"/>
          <w:b w:val="0"/>
          <w:color w:val="000000"/>
          <w:sz w:val="21"/>
        </w:rPr>
        <w:t>Separate policy actions into:</w:t>
      </w:r>
    </w:p>
    <w:p>
      <w:pPr>
        <w:spacing w:before="60" w:after="140" w:line="240" w:lineRule="auto"/>
        <w:ind w:left="360" w:right="216"/>
        <w:shd w:fill="F3F4F6"/>
      </w:pPr>
      <w:r>
        <w:rPr>
          <w:rFonts w:ascii="Consolas" w:hAnsi="Consolas" w:eastAsia="Microsoft YaHei"/>
          <w:color w:val="1F2937"/>
          <w:sz w:val="17"/>
        </w:rPr>
        <w:t>arm actions</w:t>
        <w:br/>
        <w:t>balance actions = waist and leg actions</w:t>
      </w:r>
    </w:p>
    <w:p>
      <w:r>
        <w:rPr>
          <w:rFonts w:ascii="Aptos" w:hAnsi="Aptos" w:eastAsia="Microsoft YaHei"/>
          <w:b w:val="0"/>
          <w:color w:val="000000"/>
          <w:sz w:val="21"/>
        </w:rPr>
        <w:t>The original linear mixing coefficient is:</w:t>
      </w:r>
    </w:p>
    <w:p>
      <w:pPr>
        <w:spacing w:before="60" w:after="140" w:line="240" w:lineRule="auto"/>
        <w:ind w:left="360" w:right="216"/>
        <w:shd w:fill="F3F4F6"/>
      </w:pPr>
      <w:r>
        <w:rPr>
          <w:rFonts w:ascii="Consolas" w:hAnsi="Consolas" w:eastAsia="Microsoft YaHei"/>
          <w:color w:val="1F2937"/>
          <w:sz w:val="17"/>
        </w:rPr>
        <w:t>beta = min(t / T_mix, 1)</w:t>
      </w:r>
    </w:p>
    <w:p>
      <w:r>
        <w:rPr>
          <w:rFonts w:ascii="Aptos" w:hAnsi="Aptos" w:eastAsia="Microsoft YaHei"/>
          <w:b w:val="0"/>
          <w:color w:val="000000"/>
          <w:sz w:val="21"/>
        </w:rPr>
        <w:t>Conceptual mixed advantages are:</w:t>
      </w:r>
    </w:p>
    <w:p>
      <w:pPr>
        <w:spacing w:before="60" w:after="140" w:line="240" w:lineRule="auto"/>
        <w:ind w:left="360" w:right="216"/>
        <w:shd w:fill="F3F4F6"/>
      </w:pPr>
      <w:r>
        <w:rPr>
          <w:rFonts w:ascii="Consolas" w:hAnsi="Consolas" w:eastAsia="Microsoft YaHei"/>
          <w:color w:val="1F2937"/>
          <w:sz w:val="17"/>
        </w:rPr>
        <w:t>A_arm = A_reach + beta * A_balance</w:t>
        <w:br/>
        <w:t>A_balance_action = A_balance + beta * A_reach</w:t>
      </w:r>
    </w:p>
    <w:p>
      <w:r>
        <w:rPr>
          <w:rFonts w:ascii="Aptos" w:hAnsi="Aptos" w:eastAsia="Microsoft YaHei"/>
          <w:b w:val="0"/>
          <w:color w:val="000000"/>
          <w:sz w:val="21"/>
        </w:rPr>
        <w:t>The implementation must be checked against Deep Whole-Body Control, available source code, and the selected PPO framework. Verify critic structure, returns, advantage normalization, PPO ratios, clipping, and action indices.</w:t>
      </w:r>
    </w:p>
    <w:p>
      <w:pPr>
        <w:pStyle w:val="Heading1"/>
        <w:keepNext/>
      </w:pPr>
      <w:r>
        <w:rPr>
          <w:rFonts w:ascii="Aptos" w:hAnsi="Aptos" w:eastAsia="Microsoft YaHei"/>
          <w:b/>
          <w:color w:val="000000"/>
          <w:sz w:val="30"/>
        </w:rPr>
        <w:t>7 Reward Design Boundaries</w:t>
      </w:r>
    </w:p>
    <w:p>
      <w:r>
        <w:rPr>
          <w:rFonts w:ascii="Aptos" w:hAnsi="Aptos" w:eastAsia="Microsoft YaHei"/>
          <w:b w:val="0"/>
          <w:color w:val="000000"/>
          <w:sz w:val="21"/>
        </w:rPr>
        <w:t>Shared reward terms may include end-effector reaching, torso orientation, foot contact, alive or termination terms, energy, action smoothness, joint limits, and self-collision safety.</w:t>
      </w:r>
    </w:p>
    <w:p>
      <w:r>
        <w:rPr>
          <w:rFonts w:ascii="Aptos" w:hAnsi="Aptos" w:eastAsia="Microsoft YaHei"/>
          <w:b w:val="0"/>
          <w:color w:val="000000"/>
          <w:sz w:val="21"/>
        </w:rPr>
        <w:t>B3 and B4 should differ mainly in the balance objective. B3 uses CoM projection, CoM support margin, or CoM velocity. B4 uses ZMP position, support margin, or violation measures.</w:t>
      </w:r>
    </w:p>
    <w:p>
      <w:r>
        <w:rPr>
          <w:rFonts w:ascii="Aptos" w:hAnsi="Aptos" w:eastAsia="Microsoft YaHei"/>
          <w:b w:val="0"/>
          <w:color w:val="000000"/>
          <w:sz w:val="21"/>
        </w:rPr>
        <w:t>Do not treat the CoM projection as ZMP. ZMP must be computed from foot-contact forces and moments or an equivalent dynamics formulation. Validate it using static standing, arm motion, pushing, and foot-lift tests.</w:t>
      </w:r>
    </w:p>
    <w:p>
      <w:pPr>
        <w:pStyle w:val="Heading1"/>
        <w:keepNext/>
      </w:pPr>
      <w:r>
        <w:rPr>
          <w:rFonts w:ascii="Aptos" w:hAnsi="Aptos" w:eastAsia="Microsoft YaHei"/>
          <w:b/>
          <w:color w:val="000000"/>
          <w:sz w:val="30"/>
        </w:rPr>
        <w:t>8 Initial Observation and Action Design</w:t>
      </w:r>
    </w:p>
    <w:p>
      <w:r>
        <w:rPr>
          <w:rFonts w:ascii="Aptos" w:hAnsi="Aptos" w:eastAsia="Microsoft YaHei"/>
          <w:b w:val="0"/>
          <w:color w:val="000000"/>
          <w:sz w:val="21"/>
        </w:rPr>
        <w:t>Candidate observations include base orientation, base angular velocity, joint position and velocity, foot-contact state, end-effector position relative to target, previous action, and optional CoM or ZMP features.</w:t>
      </w:r>
    </w:p>
    <w:p>
      <w:r>
        <w:rPr>
          <w:rFonts w:ascii="Aptos" w:hAnsi="Aptos" w:eastAsia="Microsoft YaHei"/>
          <w:b w:val="0"/>
          <w:color w:val="000000"/>
          <w:sz w:val="21"/>
        </w:rPr>
        <w:t>Candidate actions are whole-body joint-position targets or offsets tracked by a low-level PD controller. The controlled joint set, action scale, control frequency, and physics timestep must be determined from the H1-2 model and real interface, then recorded.</w:t>
      </w:r>
    </w:p>
    <w:p>
      <w:pPr>
        <w:pStyle w:val="Heading1"/>
        <w:keepNext/>
      </w:pPr>
      <w:r>
        <w:rPr>
          <w:rFonts w:ascii="Aptos" w:hAnsi="Aptos" w:eastAsia="Microsoft YaHei"/>
          <w:b/>
          <w:color w:val="000000"/>
          <w:sz w:val="30"/>
        </w:rPr>
        <w:t>9 Evaluation Metrics</w:t>
      </w:r>
    </w:p>
    <w:p>
      <w:pPr>
        <w:pStyle w:val="Heading2"/>
        <w:keepNext/>
      </w:pPr>
      <w:r>
        <w:rPr>
          <w:rFonts w:ascii="Aptos" w:hAnsi="Aptos" w:eastAsia="Microsoft YaHei"/>
          <w:b/>
          <w:color w:val="000000"/>
          <w:sz w:val="24"/>
        </w:rPr>
        <w:t>9.1 Primary Metrics</w:t>
      </w:r>
    </w:p>
    <w:p>
      <w:pPr>
        <w:ind w:left="360" w:hanging="360"/>
      </w:pPr>
      <w:r>
        <w:rPr>
          <w:rFonts w:ascii="Aptos" w:hAnsi="Aptos" w:eastAsia="Microsoft YaHei"/>
          <w:b w:val="0"/>
          <w:color w:val="000000"/>
          <w:sz w:val="21"/>
        </w:rPr>
        <w:t>1.  Joint Task Success Rate: episodes satisfying both reaching and stability criteria;</w:t>
      </w:r>
    </w:p>
    <w:p>
      <w:pPr>
        <w:ind w:left="360" w:hanging="360"/>
      </w:pPr>
      <w:r>
        <w:rPr>
          <w:rFonts w:ascii="Aptos" w:hAnsi="Aptos" w:eastAsia="Microsoft YaHei"/>
          <w:b w:val="0"/>
          <w:color w:val="000000"/>
          <w:sz w:val="21"/>
        </w:rPr>
        <w:t>2.  End-Effector Position Error: final and mean Euclidean target error;</w:t>
      </w:r>
    </w:p>
    <w:p>
      <w:pPr>
        <w:ind w:left="360" w:hanging="360"/>
      </w:pPr>
      <w:r>
        <w:rPr>
          <w:rFonts w:ascii="Aptos" w:hAnsi="Aptos" w:eastAsia="Microsoft YaHei"/>
          <w:b w:val="0"/>
          <w:color w:val="000000"/>
          <w:sz w:val="21"/>
        </w:rPr>
        <w:t>3.  Fall Rate and Survival: fall proportion and stable duration;</w:t>
      </w:r>
    </w:p>
    <w:p>
      <w:pPr>
        <w:ind w:left="360" w:hanging="360"/>
      </w:pPr>
      <w:r>
        <w:rPr>
          <w:rFonts w:ascii="Aptos" w:hAnsi="Aptos" w:eastAsia="Microsoft YaHei"/>
          <w:b w:val="0"/>
          <w:color w:val="000000"/>
          <w:sz w:val="21"/>
        </w:rPr>
        <w:t>4.  Support Stability: CoM support margin, ZMP violation ratio, and maximum deviation;</w:t>
      </w:r>
    </w:p>
    <w:p>
      <w:pPr>
        <w:ind w:left="360" w:hanging="360"/>
      </w:pPr>
      <w:r>
        <w:rPr>
          <w:rFonts w:ascii="Aptos" w:hAnsi="Aptos" w:eastAsia="Microsoft YaHei"/>
          <w:b w:val="0"/>
          <w:color w:val="000000"/>
          <w:sz w:val="21"/>
        </w:rPr>
        <w:t>5.  Training Efficiency: environment steps required to reach a target success or error threshold.</w:t>
      </w:r>
    </w:p>
    <w:p>
      <w:pPr>
        <w:pStyle w:val="Heading2"/>
        <w:keepNext/>
      </w:pPr>
      <w:r>
        <w:rPr>
          <w:rFonts w:ascii="Aptos" w:hAnsi="Aptos" w:eastAsia="Microsoft YaHei"/>
          <w:b/>
          <w:color w:val="000000"/>
          <w:sz w:val="24"/>
        </w:rPr>
        <w:t>9.2 Secondary Metrics</w:t>
      </w:r>
    </w:p>
    <w:p>
      <w:pPr>
        <w:pStyle w:val="ListBullet"/>
      </w:pPr>
      <w:r>
        <w:rPr>
          <w:rFonts w:ascii="Aptos" w:hAnsi="Aptos" w:eastAsia="Microsoft YaHei"/>
          <w:b w:val="0"/>
          <w:color w:val="000000"/>
          <w:sz w:val="21"/>
        </w:rPr>
        <w:t>torso pitch and roll error;</w:t>
      </w:r>
    </w:p>
    <w:p>
      <w:pPr>
        <w:pStyle w:val="ListBullet"/>
      </w:pPr>
      <w:r>
        <w:rPr>
          <w:rFonts w:ascii="Aptos" w:hAnsi="Aptos" w:eastAsia="Microsoft YaHei"/>
          <w:b w:val="0"/>
          <w:color w:val="000000"/>
          <w:sz w:val="21"/>
        </w:rPr>
        <w:t>disturbance recovery time;</w:t>
      </w:r>
    </w:p>
    <w:p>
      <w:pPr>
        <w:pStyle w:val="ListBullet"/>
      </w:pPr>
      <w:r>
        <w:rPr>
          <w:rFonts w:ascii="Aptos" w:hAnsi="Aptos" w:eastAsia="Microsoft YaHei"/>
          <w:b w:val="0"/>
          <w:color w:val="000000"/>
          <w:sz w:val="21"/>
        </w:rPr>
        <w:t>maximum tolerable disturbance;</w:t>
      </w:r>
    </w:p>
    <w:p>
      <w:pPr>
        <w:pStyle w:val="ListBullet"/>
      </w:pPr>
      <w:r>
        <w:rPr>
          <w:rFonts w:ascii="Aptos" w:hAnsi="Aptos" w:eastAsia="Microsoft YaHei"/>
          <w:b w:val="0"/>
          <w:color w:val="000000"/>
          <w:sz w:val="21"/>
        </w:rPr>
        <w:t>action rate or joint jerk;</w:t>
      </w:r>
    </w:p>
    <w:p>
      <w:pPr>
        <w:pStyle w:val="ListBullet"/>
      </w:pPr>
      <w:r>
        <w:rPr>
          <w:rFonts w:ascii="Aptos" w:hAnsi="Aptos" w:eastAsia="Microsoft YaHei"/>
          <w:b w:val="0"/>
          <w:color w:val="000000"/>
          <w:sz w:val="21"/>
        </w:rPr>
        <w:t>energy or accumulated control effort;</w:t>
      </w:r>
    </w:p>
    <w:p>
      <w:pPr>
        <w:pStyle w:val="ListBullet"/>
      </w:pPr>
      <w:r>
        <w:rPr>
          <w:rFonts w:ascii="Aptos" w:hAnsi="Aptos" w:eastAsia="Microsoft YaHei"/>
          <w:b w:val="0"/>
          <w:color w:val="000000"/>
          <w:sz w:val="21"/>
        </w:rPr>
        <w:t>mean, standard deviation, and confidence interval across seeds.</w:t>
      </w:r>
    </w:p>
    <w:p>
      <w:pPr>
        <w:pStyle w:val="Heading1"/>
        <w:keepNext/>
      </w:pPr>
      <w:r>
        <w:rPr>
          <w:rFonts w:ascii="Aptos" w:hAnsi="Aptos" w:eastAsia="Microsoft YaHei"/>
          <w:b/>
          <w:color w:val="000000"/>
          <w:sz w:val="30"/>
        </w:rPr>
        <w:t>10 Implementation Order</w:t>
      </w:r>
    </w:p>
    <w:p>
      <w:pPr>
        <w:ind w:left="360" w:hanging="360"/>
      </w:pPr>
      <w:r>
        <w:rPr>
          <w:rFonts w:ascii="Aptos" w:hAnsi="Aptos" w:eastAsia="Microsoft YaHei"/>
          <w:b w:val="0"/>
          <w:color w:val="000000"/>
          <w:sz w:val="21"/>
        </w:rPr>
        <w:t>1.  Freeze the task and experiment specification;</w:t>
      </w:r>
    </w:p>
    <w:p>
      <w:pPr>
        <w:ind w:left="360" w:hanging="360"/>
      </w:pPr>
      <w:r>
        <w:rPr>
          <w:rFonts w:ascii="Aptos" w:hAnsi="Aptos" w:eastAsia="Microsoft YaHei"/>
          <w:b w:val="0"/>
          <w:color w:val="000000"/>
          <w:sz w:val="21"/>
        </w:rPr>
        <w:t>2.  Establish repository, dependency, configuration, and logging structure;</w:t>
      </w:r>
    </w:p>
    <w:p>
      <w:pPr>
        <w:ind w:left="360" w:hanging="360"/>
      </w:pPr>
      <w:r>
        <w:rPr>
          <w:rFonts w:ascii="Aptos" w:hAnsi="Aptos" w:eastAsia="Microsoft YaHei"/>
          <w:b w:val="0"/>
          <w:color w:val="000000"/>
          <w:sz w:val="21"/>
        </w:rPr>
        <w:t>3.  Import and validate the H1-2 model;</w:t>
      </w:r>
    </w:p>
    <w:p>
      <w:pPr>
        <w:ind w:left="360" w:hanging="360"/>
      </w:pPr>
      <w:r>
        <w:rPr>
          <w:rFonts w:ascii="Aptos" w:hAnsi="Aptos" w:eastAsia="Microsoft YaHei"/>
          <w:b w:val="0"/>
          <w:color w:val="000000"/>
          <w:sz w:val="21"/>
        </w:rPr>
        <w:t>4.  Implement reset, target generation, observations, actions, and termination;</w:t>
      </w:r>
    </w:p>
    <w:p>
      <w:pPr>
        <w:ind w:left="360" w:hanging="360"/>
      </w:pPr>
      <w:r>
        <w:rPr>
          <w:rFonts w:ascii="Aptos" w:hAnsi="Aptos" w:eastAsia="Microsoft YaHei"/>
          <w:b w:val="0"/>
          <w:color w:val="000000"/>
          <w:sz w:val="21"/>
        </w:rPr>
        <w:t>5.  Implement metrics and physics unit tests before training;</w:t>
      </w:r>
    </w:p>
    <w:p>
      <w:pPr>
        <w:ind w:left="360" w:hanging="360"/>
      </w:pPr>
      <w:r>
        <w:rPr>
          <w:rFonts w:ascii="Aptos" w:hAnsi="Aptos" w:eastAsia="Microsoft YaHei"/>
          <w:b w:val="0"/>
          <w:color w:val="000000"/>
          <w:sz w:val="21"/>
        </w:rPr>
        <w:t>6.  Implement B0 IK and PD;</w:t>
      </w:r>
    </w:p>
    <w:p>
      <w:pPr>
        <w:ind w:left="360" w:hanging="360"/>
      </w:pPr>
      <w:r>
        <w:rPr>
          <w:rFonts w:ascii="Aptos" w:hAnsi="Aptos" w:eastAsia="Microsoft YaHei"/>
          <w:b w:val="0"/>
          <w:color w:val="000000"/>
          <w:sz w:val="21"/>
        </w:rPr>
        <w:t>7.  Train a simple standing PPO task to validate the learning pipeline;</w:t>
      </w:r>
    </w:p>
    <w:p>
      <w:pPr>
        <w:ind w:left="360" w:hanging="360"/>
      </w:pPr>
      <w:r>
        <w:rPr>
          <w:rFonts w:ascii="Aptos" w:hAnsi="Aptos" w:eastAsia="Microsoft YaHei"/>
          <w:b w:val="0"/>
          <w:color w:val="000000"/>
          <w:sz w:val="21"/>
        </w:rPr>
        <w:t>8.  Implement B1 Vanilla Unified PPO;</w:t>
      </w:r>
    </w:p>
    <w:p>
      <w:pPr>
        <w:ind w:left="360" w:hanging="360"/>
      </w:pPr>
      <w:r>
        <w:rPr>
          <w:rFonts w:ascii="Aptos" w:hAnsi="Aptos" w:eastAsia="Microsoft YaHei"/>
          <w:b w:val="0"/>
          <w:color w:val="000000"/>
          <w:sz w:val="21"/>
        </w:rPr>
        <w:t>9.  Implement B2 Advantage Mixing;</w:t>
      </w:r>
    </w:p>
    <w:p>
      <w:pPr>
        <w:ind w:left="360" w:hanging="360"/>
      </w:pPr>
      <w:r>
        <w:rPr>
          <w:rFonts w:ascii="Aptos" w:hAnsi="Aptos" w:eastAsia="Microsoft YaHei"/>
          <w:b w:val="0"/>
          <w:color w:val="000000"/>
          <w:sz w:val="21"/>
        </w:rPr>
        <w:t>10.  Validate CoM and ZMP calculations;</w:t>
      </w:r>
    </w:p>
    <w:p>
      <w:pPr>
        <w:ind w:left="360" w:hanging="360"/>
      </w:pPr>
      <w:r>
        <w:rPr>
          <w:rFonts w:ascii="Aptos" w:hAnsi="Aptos" w:eastAsia="Microsoft YaHei"/>
          <w:b w:val="0"/>
          <w:color w:val="000000"/>
          <w:sz w:val="21"/>
        </w:rPr>
        <w:t>11.  Implement B3 and B4;</w:t>
      </w:r>
    </w:p>
    <w:p>
      <w:pPr>
        <w:ind w:left="360" w:hanging="360"/>
      </w:pPr>
      <w:r>
        <w:rPr>
          <w:rFonts w:ascii="Aptos" w:hAnsi="Aptos" w:eastAsia="Microsoft YaHei"/>
          <w:b w:val="0"/>
          <w:color w:val="000000"/>
          <w:sz w:val="21"/>
        </w:rPr>
        <w:t>12.  Add target randomization, payloads, pushes, and domain randomization gradually;</w:t>
      </w:r>
    </w:p>
    <w:p>
      <w:pPr>
        <w:ind w:left="360" w:hanging="360"/>
      </w:pPr>
      <w:r>
        <w:rPr>
          <w:rFonts w:ascii="Aptos" w:hAnsi="Aptos" w:eastAsia="Microsoft YaHei"/>
          <w:b w:val="0"/>
          <w:color w:val="000000"/>
          <w:sz w:val="21"/>
        </w:rPr>
        <w:t>13.  Run formal experiments with three to five random seeds;</w:t>
      </w:r>
    </w:p>
    <w:p>
      <w:pPr>
        <w:ind w:left="360" w:hanging="360"/>
      </w:pPr>
      <w:r>
        <w:rPr>
          <w:rFonts w:ascii="Aptos" w:hAnsi="Aptos" w:eastAsia="Microsoft YaHei"/>
          <w:b w:val="0"/>
          <w:color w:val="000000"/>
          <w:sz w:val="21"/>
        </w:rPr>
        <w:t>14.  Perform OOD tests, ablations, failure analysis, and reproducibility checks;</w:t>
      </w:r>
    </w:p>
    <w:p>
      <w:pPr>
        <w:ind w:left="360" w:hanging="360"/>
      </w:pPr>
      <w:r>
        <w:rPr>
          <w:rFonts w:ascii="Aptos" w:hAnsi="Aptos" w:eastAsia="Microsoft YaHei"/>
          <w:b w:val="0"/>
          <w:color w:val="000000"/>
          <w:sz w:val="21"/>
        </w:rPr>
        <w:t>15.  Prepare Sim-to-Real only after the simulation evidence is complete.</w:t>
      </w:r>
    </w:p>
    <w:p>
      <w:pPr>
        <w:pStyle w:val="Heading1"/>
        <w:keepNext/>
      </w:pPr>
      <w:r>
        <w:rPr>
          <w:rFonts w:ascii="Aptos" w:hAnsi="Aptos" w:eastAsia="Microsoft YaHei"/>
          <w:b/>
          <w:color w:val="000000"/>
          <w:sz w:val="30"/>
        </w:rPr>
        <w:t>11 Suggested Repository Structure</w:t>
      </w:r>
    </w:p>
    <w:p>
      <w:pPr>
        <w:spacing w:before="60" w:after="140" w:line="240" w:lineRule="auto"/>
        <w:ind w:left="360" w:right="216"/>
        <w:shd w:fill="F3F4F6"/>
      </w:pPr>
      <w:r>
        <w:rPr>
          <w:rFonts w:ascii="Consolas" w:hAnsi="Consolas" w:eastAsia="Microsoft YaHei"/>
          <w:color w:val="1F2937"/>
          <w:sz w:val="17"/>
        </w:rPr>
        <w:t>h1_whole_body_reaching/</w:t>
        <w:br/>
        <w:t>|-- assets/h1_2/</w:t>
        <w:br/>
        <w:t>|-- configs/{robot,task,algorithm,experiments}/</w:t>
        <w:br/>
        <w:t>|-- envs/{environment,observations,actions,commands,terminations}.py</w:t>
        <w:br/>
        <w:t>|-- rewards/{common_rewards,com_rewards,zmp_rewards}.py</w:t>
        <w:br/>
        <w:t>|-- algorithms/{ppo,advantage_mixing}/</w:t>
        <w:br/>
        <w:t>|-- controllers/{pd_controller,arm_ik}.py</w:t>
        <w:br/>
        <w:t>|-- evaluation/{metrics,disturbances,scenario_suite,evaluator}.py</w:t>
        <w:br/>
        <w:t>|-- tests/</w:t>
        <w:br/>
        <w:t>|-- scripts/{train,evaluate,play,export_policy}.py</w:t>
        <w:br/>
        <w:t>`-- README.md</w:t>
      </w:r>
    </w:p>
    <w:p>
      <w:r>
        <w:rPr>
          <w:rFonts w:ascii="Aptos" w:hAnsi="Aptos" w:eastAsia="Microsoft YaHei"/>
          <w:b w:val="0"/>
          <w:color w:val="000000"/>
          <w:sz w:val="21"/>
        </w:rPr>
        <w:t>Replace this example with actual repository paths after the project structure is established.</w:t>
      </w:r>
    </w:p>
    <w:p>
      <w:pPr>
        <w:pStyle w:val="Heading1"/>
        <w:keepNext/>
      </w:pPr>
      <w:r>
        <w:rPr>
          <w:rFonts w:ascii="Aptos" w:hAnsi="Aptos" w:eastAsia="Microsoft YaHei"/>
          <w:b/>
          <w:color w:val="000000"/>
          <w:sz w:val="30"/>
        </w:rPr>
        <w:t>12 Engineering and Experimental Rules</w:t>
      </w:r>
    </w:p>
    <w:p>
      <w:pPr>
        <w:pStyle w:val="ListBullet"/>
      </w:pPr>
      <w:r>
        <w:rPr>
          <w:rFonts w:ascii="Aptos" w:hAnsi="Aptos" w:eastAsia="Microsoft YaHei"/>
          <w:b w:val="0"/>
          <w:color w:val="000000"/>
          <w:sz w:val="21"/>
        </w:rPr>
        <w:t>Inspect the repository and existing tests before editing;</w:t>
      </w:r>
    </w:p>
    <w:p>
      <w:pPr>
        <w:pStyle w:val="ListBullet"/>
      </w:pPr>
      <w:r>
        <w:rPr>
          <w:rFonts w:ascii="Aptos" w:hAnsi="Aptos" w:eastAsia="Microsoft YaHei"/>
          <w:b w:val="0"/>
          <w:color w:val="000000"/>
          <w:sz w:val="21"/>
        </w:rPr>
        <w:t>Do not allow multiple agents to modify the same core file concurrently;</w:t>
      </w:r>
    </w:p>
    <w:p>
      <w:pPr>
        <w:pStyle w:val="ListBullet"/>
      </w:pPr>
      <w:r>
        <w:rPr>
          <w:rFonts w:ascii="Aptos" w:hAnsi="Aptos" w:eastAsia="Microsoft YaHei"/>
          <w:b w:val="0"/>
          <w:color w:val="000000"/>
          <w:sz w:val="21"/>
        </w:rPr>
        <w:t>Give every reward component a unit test and range check;</w:t>
      </w:r>
    </w:p>
    <w:p>
      <w:pPr>
        <w:pStyle w:val="ListBullet"/>
      </w:pPr>
      <w:r>
        <w:rPr>
          <w:rFonts w:ascii="Aptos" w:hAnsi="Aptos" w:eastAsia="Microsoft YaHei"/>
          <w:b w:val="0"/>
          <w:color w:val="000000"/>
          <w:sz w:val="21"/>
        </w:rPr>
        <w:t>Control experiments through configuration files rather than hard-coded values;</w:t>
      </w:r>
    </w:p>
    <w:p>
      <w:pPr>
        <w:pStyle w:val="ListBullet"/>
      </w:pPr>
      <w:r>
        <w:rPr>
          <w:rFonts w:ascii="Aptos" w:hAnsi="Aptos" w:eastAsia="Microsoft YaHei"/>
          <w:b w:val="0"/>
          <w:color w:val="000000"/>
          <w:sz w:val="21"/>
        </w:rPr>
        <w:t>Save Git commits, configurations, seeds, checkpoints, and logs;</w:t>
      </w:r>
    </w:p>
    <w:p>
      <w:pPr>
        <w:pStyle w:val="ListBullet"/>
      </w:pPr>
      <w:r>
        <w:rPr>
          <w:rFonts w:ascii="Aptos" w:hAnsi="Aptos" w:eastAsia="Microsoft YaHei"/>
          <w:b w:val="0"/>
          <w:color w:val="000000"/>
          <w:sz w:val="21"/>
        </w:rPr>
        <w:t>Keep training and evaluation separate;</w:t>
      </w:r>
    </w:p>
    <w:p>
      <w:pPr>
        <w:pStyle w:val="ListBullet"/>
      </w:pPr>
      <w:r>
        <w:rPr>
          <w:rFonts w:ascii="Aptos" w:hAnsi="Aptos" w:eastAsia="Microsoft YaHei"/>
          <w:b w:val="0"/>
          <w:color w:val="000000"/>
          <w:sz w:val="21"/>
        </w:rPr>
        <w:t>Do not use training episodes as final test results;</w:t>
      </w:r>
    </w:p>
    <w:p>
      <w:pPr>
        <w:pStyle w:val="ListBullet"/>
      </w:pPr>
      <w:r>
        <w:rPr>
          <w:rFonts w:ascii="Aptos" w:hAnsi="Aptos" w:eastAsia="Microsoft YaHei"/>
          <w:b w:val="0"/>
          <w:color w:val="000000"/>
          <w:sz w:val="21"/>
        </w:rPr>
        <w:t>Do not report only the best seed or checkpoint;</w:t>
      </w:r>
    </w:p>
    <w:p>
      <w:pPr>
        <w:pStyle w:val="ListBullet"/>
      </w:pPr>
      <w:r>
        <w:rPr>
          <w:rFonts w:ascii="Aptos" w:hAnsi="Aptos" w:eastAsia="Microsoft YaHei"/>
          <w:b w:val="0"/>
          <w:color w:val="000000"/>
          <w:sz w:val="21"/>
        </w:rPr>
        <w:t>Do not claim a component works without ablation evidence;</w:t>
      </w:r>
    </w:p>
    <w:p>
      <w:pPr>
        <w:pStyle w:val="ListBullet"/>
      </w:pPr>
      <w:r>
        <w:rPr>
          <w:rFonts w:ascii="Aptos" w:hAnsi="Aptos" w:eastAsia="Microsoft YaHei"/>
          <w:b w:val="0"/>
          <w:color w:val="000000"/>
          <w:sz w:val="21"/>
        </w:rPr>
        <w:t>Record engineering assumptions when papers omit implementation details.</w:t>
      </w:r>
    </w:p>
    <w:p>
      <w:pPr>
        <w:pStyle w:val="Heading1"/>
        <w:keepNext/>
      </w:pPr>
      <w:r>
        <w:rPr>
          <w:rFonts w:ascii="Aptos" w:hAnsi="Aptos" w:eastAsia="Microsoft YaHei"/>
          <w:b/>
          <w:color w:val="000000"/>
          <w:sz w:val="30"/>
        </w:rPr>
        <w:t>13 Current Completion Status</w:t>
      </w:r>
    </w:p>
    <w:p>
      <w:r>
        <w:t>Phase 0 experiment specification remains frozen. No PPO, reward, CoM/ZMP diagnostic, or trainable environment has been added. Phases 1 and 2 produced an import and standing-validation baseline; they are not yet complete against the full original Phase 2 acceptance checklist.</w:t>
      </w:r>
    </w:p>
    <w:p>
      <w:pPr>
        <w:pStyle w:val="ListBullet"/>
      </w:pPr>
      <w:r>
        <w:t>Phase 1 is complete in /media/zlc/FYP/IsaacLab: the official Unitree H1-2 description is pinned by source commit and SHA-256, and static plus MuJoCo validation passed.</w:t>
      </w:r>
    </w:p>
    <w:p>
      <w:pPr>
        <w:pStyle w:val="ListBullet"/>
      </w:pPr>
      <w:r>
        <w:t>Phase 2 implementation is complete in /media/zlc/FYP/IsaacLab: fixed-base H1-2 configuration, 21-action interface, six fixed wrist targets, nominal pose, headless zero-action rollout, and a visible GUI smoke rollout are maintained in h1_whole_body_reaching/.</w:t>
      </w:r>
    </w:p>
    <w:p>
      <w:pPr>
        <w:pStyle w:val="ListBullet"/>
      </w:pPr>
      <w:r>
        <w:t>The 200-step Isaac Sim 6.1 zero-action rollout passed on the RTX 4060 Laptop GPU: 1.0 s simulated, finite state, and maximum nominal-pose error 0.046060919761657715 rad. A visible GUI smoke rollout also passed through NVIDIA PRIME render offload: 20 steps, 0.1 s simulated, finite state, and maximum nominal-pose error 0.02624887228012085 rad. The scene displayed and shut down normally.</w:t>
      </w:r>
    </w:p>
    <w:p>
      <w:pPr>
        <w:pStyle w:val="ListBullet"/>
      </w:pPr>
      <w:r>
        <w:t>Phase 3 has a validated fixed-target prototype, not a complete task environment. It has a fixed right-wrist target at (0.0843, -0.2163, 0.9938) m, a six-value position-and-error observation, action scale 0.1 rad, success/timeout/non-finite/hard-limit terminations, and deterministic policy-joint reset offsets in [-0.01, 0.01] rad. The scripted action reduced target error from 0.018443127032526485 m to 0.001063834419551235 m. Manual GUI review confirmed the red target sphere was near the right wrist and the pose and both feet were normal. Four headless reset seeds (7–10) passed with finite state and no limit or timeout termination.</w:t>
      </w:r>
    </w:p>
    <w:p>
      <w:pPr>
        <w:pStyle w:val="Heading1"/>
        <w:keepNext/>
      </w:pPr>
      <w:r>
        <w:rPr>
          <w:rFonts w:ascii="Aptos" w:hAnsi="Aptos" w:eastAsia="Microsoft YaHei"/>
          <w:b/>
          <w:color w:val="000000"/>
          <w:sz w:val="30"/>
        </w:rPr>
        <w:t>14 Verified Facts</w:t>
      </w:r>
    </w:p>
    <w:p>
      <w:pPr>
        <w:pStyle w:val="ListBullet"/>
      </w:pPr>
      <w:r>
        <w:t>Official source is unitreerobotics/unitree_ros commit ccfc6fd8430a17ba3dacef9a1e2faf64ff3b0aee, robots/h1_2_description, BSD-3-Clause.</w:t>
      </w:r>
    </w:p>
    <w:p>
      <w:pPr>
        <w:pStyle w:val="ListBullet"/>
      </w:pPr>
      <w:r>
        <w:t>The handless URDF has 32 links, pelvis as root, 27 actuated joints, valid limits, and the frozen 21-joint policy order. Six wrist joints are excluded from policy control.</w:t>
      </w:r>
    </w:p>
    <w:p>
      <w:pPr>
        <w:pStyle w:val="ListBullet"/>
      </w:pPr>
      <w:r>
        <w:t>The direct MuJoCo smoke test ran for 1.0 s at 0.002 s timestep with finite state, 27 actuators, 21 policy actuators, and eight diagnostic contacts after stepping.</w:t>
      </w:r>
    </w:p>
    <w:p>
      <w:pPr>
        <w:pStyle w:val="ListBullet"/>
      </w:pPr>
      <w:r>
        <w:t>Phase 2 controller contract is dt 0.005 s, decimation 4, 50 Hz nominal control, normalized action scale 0.1 rad, fixed pelvis, and 0 rad wrist targets.</w:t>
      </w:r>
    </w:p>
    <w:p>
      <w:pPr>
        <w:pStyle w:val="ListBullet"/>
      </w:pPr>
      <w:r>
        <w:t>Nine focused interface tests passed, together with static validation, a MuJoCo smoke test, zero-action Isaac Sim rollout, fixed-target Isaac Sim rollout, and four reset seeds. These are baseline evidence rather than proof of the full Phase 2 or Phase 3 checklists. The Kit startup stall was caused by a dangling ~/.cache/ov link to an unavailable external drive; replacing it with a local directory allowed the H1-2 rollout to start normally. A later GUI hang was traced to an nvidia_uvm order-9 allocation failure on a 16 GiB system with no swap; a persistent 16 GiB /swapfile resolved that resource condition.</w:t>
      </w:r>
    </w:p>
    <w:p>
      <w:pPr>
        <w:pStyle w:val="Heading1"/>
        <w:keepNext/>
      </w:pPr>
      <w:r>
        <w:rPr>
          <w:rFonts w:ascii="Aptos" w:hAnsi="Aptos" w:eastAsia="Microsoft YaHei"/>
          <w:b/>
          <w:color w:val="000000"/>
          <w:sz w:val="30"/>
        </w:rPr>
        <w:t>15 Unresolved Issues</w:t>
      </w:r>
    </w:p>
    <w:p>
      <w:pPr>
        <w:pStyle w:val="ListBullet"/>
      </w:pPr>
      <w:r>
        <w:t>Phase 2 is not yet closed against its original checklist: there is no independent per-joint small-amplitude direction test, no systematic left-right symmetry test, no independent forward-kinematics versus simulator end-effector comparison, and no CoM/ZMP standing analysis. Collision geometry, mass, centre of mass, and inertia also lack systematic validation; Isaac Sim still reports a non-blocking `logo_link` inertia warning.</w:t>
      </w:r>
    </w:p>
    <w:p>
      <w:pPr>
        <w:pStyle w:val="ListBullet"/>
      </w:pPr>
      <w:r>
        <w:t>Phase 3 is not yet a complete episode environment: target generation is fixed rather than sampled from a safe 3D reachable workspace; no formal registered reset-step-termination loop exists; there is no reward or metric calculation, multi-environment execution, or complete observation range/unit validation. Fall and contact termination are intentionally absent because the pelvis is fixed, so they must not be claimed as complete.</w:t>
      </w:r>
    </w:p>
    <w:p>
      <w:pPr>
        <w:pStyle w:val="ListBullet"/>
      </w:pPr>
      <w:r>
        <w:t>PD gains are conservative Phase 2 engineering values, not yet tuned from runtime behavior; standing stability and target tracking under disturbances must be demonstrated before PPO. The FYP GitHub branches are a minimal overlay whereas this workspace is a full IsaacLab checkout. Decide and document the intended project repository layout before pushing or merging changes.</w:t>
      </w:r>
    </w:p>
    <w:p>
      <w:pPr>
        <w:pStyle w:val="ListBullet"/>
      </w:pPr>
      <w:r>
        <w:t>Target randomization, rewards, CoM/ZMP diagnostics, PPO, and Advantage Mixing remain intentionally unimplemented. The current reset, fixed target, observation, action, and termination code is a bounded prototype contract, not a trainable task environment.</w:t>
      </w:r>
    </w:p>
    <w:p>
      <w:pPr>
        <w:pStyle w:val="Heading1"/>
        <w:keepNext/>
      </w:pPr>
      <w:r>
        <w:rPr>
          <w:rFonts w:ascii="Aptos" w:hAnsi="Aptos" w:eastAsia="Microsoft YaHei"/>
          <w:b/>
          <w:color w:val="000000"/>
          <w:sz w:val="30"/>
        </w:rPr>
        <w:t>16 Next-Session Task</w:t>
      </w:r>
    </w:p>
    <w:p>
      <w:r>
        <w:t>First close the Phase 2 evidence gaps with independently testable per-joint direction and symmetry probes, FK-versus-simulator end-effector comparison, collision/mass/inertia review, and a documented static CoM/ZMP analysis. Do not claim full Phase 2 completion before those results are recorded.</w:t>
      </w:r>
    </w:p>
    <w:p>
      <w:r>
        <w:t>Then complete Phase 3 by implementing a registered reaching environment that repeatedly resets, samples safe 3D targets, steps, observes, applies action scaling, computes a minimal separately tested reaching reward, and supports vectorized execution. Add fall/contact termination only after moving from fixed-base to free-base; do not add PPO or Advantage Mixing before these contracts have independent tests.</w:t>
      </w:r>
    </w:p>
    <w:p>
      <w:pPr>
        <w:pStyle w:val="Heading1"/>
        <w:keepNext/>
      </w:pPr>
      <w:r>
        <w:rPr>
          <w:rFonts w:ascii="Aptos" w:hAnsi="Aptos" w:eastAsia="Microsoft YaHei"/>
          <w:b/>
          <w:color w:val="000000"/>
          <w:sz w:val="30"/>
        </w:rPr>
        <w:t>17 New-Session Starter Prompt</w:t>
      </w:r>
    </w:p>
    <w:p>
      <w:pPr>
        <w:spacing w:before="60" w:after="140" w:line="240" w:lineRule="auto"/>
        <w:ind w:left="360" w:right="216"/>
        <w:shd w:fill="F3F4F6"/>
      </w:pPr>
      <w:r>
        <w:rPr>
          <w:rFonts w:ascii="Consolas" w:hAnsi="Consolas" w:eastAsia="Microsoft YaHei"/>
          <w:color w:val="1F2937"/>
          <w:sz w:val="17"/>
        </w:rPr>
        <w:t>You are helping me complete an XJTLU Robotics Engineering FYP on Unitree H1-2 humanoid whole-body balance and single-arm target-reaching control. First read the complete H1-2_FYP_Project_Context file, then inspect the code, configurations, logs, errors, or papers supplied for this session.</w:t>
        <w:br/>
        <w:br/>
        <w:t>The context file is the project's single source of truth. If it conflicts with current code or experimental logs, treat the code and logs as authoritative and identify what must be updated. Do not assume an unverified module is complete, and do not rewrite the whole project at once.</w:t>
        <w:br/>
        <w:br/>
        <w:t>Task for this session: [insert one concrete task]</w:t>
        <w:br/>
        <w:t>Files or modules you may modify: [insert scope]</w:t>
        <w:br/>
        <w:t>Files or modules you must not modify: [insert scope]</w:t>
        <w:br/>
        <w:t>Acceptance criteria: [insert testable completion criteria]</w:t>
        <w:br/>
        <w:br/>
        <w:t>Before editing:</w:t>
        <w:br/>
        <w:t>1. Summarize your understanding of the current project state;</w:t>
        <w:br/>
        <w:t>2. List the existing interfaces required by this task;</w:t>
        <w:br/>
        <w:t>3. Identify missing or conflicting information;</w:t>
        <w:br/>
        <w:t>4. Give a short execution plan;</w:t>
        <w:br/>
        <w:t>5. Then inspect or modify the code and run tests.</w:t>
        <w:br/>
        <w:br/>
        <w:t>At completion report:</w:t>
        <w:br/>
        <w:t>1. What changed;</w:t>
        <w:br/>
        <w:t>2. Why it changed;</w:t>
        <w:br/>
        <w:t>3. Tests run and results;</w:t>
        <w:br/>
        <w:t>4. Remaining risks or unresolved issues;</w:t>
        <w:br/>
        <w:t>5. Recommended next task;</w:t>
        <w:br/>
        <w:t>6. A handoff summary that can be written back into the Project Context file.</w:t>
      </w:r>
    </w:p>
    <w:p>
      <w:pPr>
        <w:pStyle w:val="Heading1"/>
        <w:keepNext/>
      </w:pPr>
      <w:r>
        <w:rPr>
          <w:rFonts w:ascii="Aptos" w:hAnsi="Aptos" w:eastAsia="Microsoft YaHei"/>
          <w:b/>
          <w:color w:val="000000"/>
          <w:sz w:val="30"/>
        </w:rPr>
        <w:t>18 End-of-Session Handoff Template</w:t>
      </w:r>
    </w:p>
    <w:p>
      <w:pPr>
        <w:spacing w:before="60" w:after="140" w:line="240" w:lineRule="auto"/>
        <w:ind w:left="360" w:right="216"/>
        <w:shd w:fill="F3F4F6"/>
      </w:pPr>
      <w:r>
        <w:rPr>
          <w:rFonts w:ascii="Consolas" w:hAnsi="Consolas" w:eastAsia="Microsoft YaHei"/>
          <w:color w:val="1F2937"/>
          <w:sz w:val="17"/>
        </w:rPr>
        <w:t>Session date:</w:t>
        <w:br/>
        <w:t>Session objective:</w:t>
        <w:br/>
        <w:br/>
        <w:t>Completed:</w:t>
        <w:br/>
        <w:t>-</w:t>
        <w:br/>
        <w:br/>
        <w:t>Modified files:</w:t>
        <w:br/>
        <w:t>-</w:t>
        <w:br/>
        <w:br/>
        <w:t>Tests and results:</w:t>
        <w:br/>
        <w:t>-</w:t>
        <w:br/>
        <w:br/>
        <w:t>Confirmed interfaces and parameters:</w:t>
        <w:br/>
        <w:t>-</w:t>
        <w:br/>
        <w:br/>
        <w:t>Failed attempts and reasons:</w:t>
        <w:br/>
        <w:t>-</w:t>
        <w:br/>
        <w:br/>
        <w:t>Unresolved issues:</w:t>
        <w:br/>
        <w:t>-</w:t>
        <w:br/>
        <w:br/>
        <w:t>Next task:</w:t>
        <w:br/>
        <w:t>-</w:t>
        <w:br/>
        <w:br/>
        <w:t>Next acceptance criteria:</w:t>
        <w:br/>
        <w:t>-</w:t>
      </w:r>
    </w:p>
    <w:p>
      <w:pPr>
        <w:pStyle w:val="Heading1"/>
        <w:keepNext/>
      </w:pPr>
      <w:r>
        <w:rPr>
          <w:rFonts w:ascii="Aptos" w:hAnsi="Aptos" w:eastAsia="Microsoft YaHei"/>
          <w:b/>
          <w:color w:val="000000"/>
          <w:sz w:val="30"/>
        </w:rPr>
        <w:t>19 Core References</w:t>
      </w:r>
    </w:p>
    <w:p>
      <w:pPr>
        <w:ind w:left="360" w:hanging="360"/>
      </w:pPr>
      <w:r>
        <w:rPr>
          <w:rFonts w:ascii="Aptos" w:hAnsi="Aptos" w:eastAsia="Microsoft YaHei"/>
          <w:b w:val="0"/>
          <w:color w:val="000000"/>
          <w:sz w:val="21"/>
        </w:rPr>
        <w:t>1.  Z. Fu, X. Cheng, and D. Pathak, Deep Whole-Body Control Learning a Unified Policy for Manipulation and Locomotion.</w:t>
      </w:r>
    </w:p>
    <w:p>
      <w:pPr>
        <w:ind w:left="360" w:hanging="360"/>
      </w:pPr>
      <w:r>
        <w:rPr>
          <w:rFonts w:ascii="Aptos" w:hAnsi="Aptos" w:eastAsia="Microsoft YaHei"/>
          <w:b w:val="0"/>
          <w:color w:val="000000"/>
          <w:sz w:val="21"/>
        </w:rPr>
        <w:t>2.  W. Xie et al., Humanoid Whole-Body Locomotion on Narrow Terrain via Dynamic Balance and Reinforcement Learning.</w:t>
      </w:r>
    </w:p>
    <w:p>
      <w:pPr>
        <w:ind w:left="360" w:hanging="360"/>
      </w:pPr>
      <w:r>
        <w:rPr>
          <w:rFonts w:ascii="Aptos" w:hAnsi="Aptos" w:eastAsia="Microsoft YaHei"/>
          <w:b w:val="0"/>
          <w:color w:val="000000"/>
          <w:sz w:val="21"/>
        </w:rPr>
        <w:t>3.  D. Ferigo et al., On the Emergence of Whole-Body Strategies from Humanoid Robot Push-Recovery Learning.</w:t>
      </w:r>
    </w:p>
    <w:p>
      <w:pPr>
        <w:ind w:left="360" w:hanging="360"/>
      </w:pPr>
      <w:r>
        <w:rPr>
          <w:rFonts w:ascii="Aptos" w:hAnsi="Aptos" w:eastAsia="Microsoft YaHei"/>
          <w:b w:val="0"/>
          <w:color w:val="000000"/>
          <w:sz w:val="21"/>
        </w:rPr>
        <w:t>4.  J. Schulman et al., Proximal Policy Optimization Algorithms.</w:t>
      </w:r>
    </w:p>
    <w:p>
      <w:pPr>
        <w:ind w:left="360" w:hanging="360"/>
      </w:pPr>
      <w:r>
        <w:rPr>
          <w:rFonts w:ascii="Aptos" w:hAnsi="Aptos" w:eastAsia="Microsoft YaHei"/>
          <w:b w:val="0"/>
          <w:color w:val="000000"/>
          <w:sz w:val="21"/>
        </w:rPr>
        <w:t>5.  T. Portela et al., Whole-Body End-Effector Pose Tracking.</w:t>
      </w:r>
    </w:p>
    <w:p>
      <w:r>
        <w:rPr>
          <w:rFonts w:ascii="Aptos" w:hAnsi="Aptos" w:eastAsia="Microsoft YaHei"/>
          <w:b w:val="0"/>
          <w:color w:val="000000"/>
          <w:sz w:val="21"/>
        </w:rPr>
        <w:t>When implementing a published method, preserve its source and document deviations in code comments and technical notes.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ptos" w:hAnsi="Aptos"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H1-2 Humanoid Whole-Body Control FYP Project Context and Session Handoff Guide</dc:title>
  <dc:subject>Project background, status, experimental design, and session handoff guide</dc:subject>
  <dc:creator>Jason</dc:creator>
  <cp:keywords/>
  <dc:description>generated by python-docx</dc:description>
  <cp:lastModifiedBy/>
  <cp:revision>1</cp:revision>
  <dcterms:created xsi:type="dcterms:W3CDTF">2013-12-23T23:15:00Z</dcterms:created>
  <dcterms:modified xsi:type="dcterms:W3CDTF">2013-12-23T23:15:00Z</dcterms:modified>
  <cp:category/>
</cp:coreProperties>
</file>