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1702"/>
        <w:gridCol w:w="4100"/>
      </w:tblGrid>
      <w:tr>
        <w:trPr/>
        <w:tc>
          <w:tcPr>
            <w:tcW w:w="3543" w:type="dxa"/>
            <w:tcBorders/>
          </w:tcPr>
          <w:p>
            <w:pPr>
              <w:pStyle w:val="NoSpacing"/>
              <w:widowControl/>
              <w:spacing w:before="0" w:after="0"/>
              <w:ind w:left="-106" w:right="-107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10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>
        <w:trPr/>
        <w:tc>
          <w:tcPr>
            <w:tcW w:w="2977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доц., к.ф.-м.н., доцент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М. В. Фаттахова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1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«Решение задачи многокритериальной оптимизации средствами Excel»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«Прикладные модели оптимизации»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4"/>
        <w:gridCol w:w="1419"/>
        <w:gridCol w:w="283"/>
        <w:gridCol w:w="2410"/>
      </w:tblGrid>
      <w:tr>
        <w:trPr/>
        <w:tc>
          <w:tcPr>
            <w:tcW w:w="5244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4932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Н. С. Иванов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6"/>
        <w:gridCol w:w="1727"/>
        <w:gridCol w:w="288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6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.2021</w:t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286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3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1 Формулировка задачи: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Вариант 8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 xml:space="preserve"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Требуется составить такой план производства, который будет удовлетворять следующим целям: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Цель 1: максимизировать суммарный доход от продажи.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Цель 2: максимизировать суммарное количество производимых напитков.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Цель 3: минимизировать используемое количество специального ингредиента.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Математическая модель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 xml:space="preserve">Математические модели каждой цели и их решение с помощью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0,35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45085</wp:posOffset>
            </wp:positionH>
            <wp:positionV relativeFrom="paragraph">
              <wp:posOffset>55245</wp:posOffset>
            </wp:positionV>
            <wp:extent cx="4500880" cy="25425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4491990" cy="25546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0,02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33655</wp:posOffset>
            </wp:positionH>
            <wp:positionV relativeFrom="paragraph">
              <wp:posOffset>26670</wp:posOffset>
            </wp:positionV>
            <wp:extent cx="4450080" cy="26117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Решение многокритериальной задачи методом главного критерия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</w:t>
      </w:r>
      <w:r>
        <w:rPr>
          <w:rFonts w:ascii="Times New Roman" w:hAnsi="Times New Roman"/>
          <w:sz w:val="28"/>
          <w:szCs w:val="28"/>
          <w:lang w:val="ru-RU"/>
        </w:rPr>
        <w:t>(статус-кво)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213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750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15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15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17780</wp:posOffset>
            </wp:positionH>
            <wp:positionV relativeFrom="paragraph">
              <wp:posOffset>13970</wp:posOffset>
            </wp:positionV>
            <wp:extent cx="4448810" cy="27908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рбитражное решение Нэша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 </w:t>
      </w:r>
      <w:r>
        <w:rPr>
          <w:rFonts w:ascii="Times New Roman" w:hAnsi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213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750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15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Sup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60325</wp:posOffset>
            </wp:positionH>
            <wp:positionV relativeFrom="paragraph">
              <wp:posOffset>1226820</wp:posOffset>
            </wp:positionV>
            <wp:extent cx="5940425" cy="33108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</m:t>
              </m:r>
            </m:e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213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15</m:t>
              </m:r>
            </m:e>
          </m:eqArr>
        </m:oMath>
      </m:oMathPara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en-US"/>
        </w:rPr>
        <w:t xml:space="preserve">етодом минимизации </w:t>
      </w:r>
      <w:r>
        <w:rPr>
          <w:rFonts w:ascii="Times New Roman" w:hAnsi="Times New Roman"/>
          <w:sz w:val="28"/>
          <w:szCs w:val="28"/>
          <w:lang w:val="ru-RU"/>
        </w:rPr>
        <w:t>расстояния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</w:t>
      </w:r>
      <w:r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утопической</w:t>
      </w:r>
      <w:r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ru-RU"/>
        </w:rPr>
        <w:t>точки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>Утопическая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( </w:t>
      </w:r>
      <w:r>
        <w:rPr>
          <w:rFonts w:ascii="Times New Roman" w:hAnsi="Times New Roman"/>
          <w:sz w:val="28"/>
          <w:szCs w:val="28"/>
          <w:lang w:val="en-US"/>
        </w:rPr>
        <w:t>300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1200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min</m:t>
          </m:r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0,25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0,35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0,01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0,04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min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35560</wp:posOffset>
            </wp:positionH>
            <wp:positionV relativeFrom="paragraph">
              <wp:posOffset>74295</wp:posOffset>
            </wp:positionV>
            <wp:extent cx="4829810" cy="383921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7. Сводная таблица построенных решений:</w:t>
      </w:r>
    </w:p>
    <w:tbl>
      <w:tblPr>
        <w:tblW w:w="9338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4"/>
        <w:gridCol w:w="968"/>
        <w:gridCol w:w="791"/>
        <w:gridCol w:w="1022"/>
        <w:gridCol w:w="969"/>
        <w:gridCol w:w="774"/>
      </w:tblGrid>
      <w:tr>
        <w:trPr/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Решение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ЦФ1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ЦФ2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Оптим. для ЦФ3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Точка статус-кво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212,5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Метода главного критерия (главный – первый)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Арбитражное решение Нэша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>
        <w:trPr/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Решение методом минимизации расстояния до «утопической» точки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490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177,5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220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767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Оптимальным решением будет решение методом </w:t>
      </w:r>
      <w:r>
        <w:rPr>
          <w:rFonts w:ascii="Times New Roman" w:hAnsi="Times New Roman"/>
          <w:sz w:val="28"/>
          <w:szCs w:val="28"/>
          <w:lang w:val="ru-RU"/>
        </w:rPr>
        <w:t>главного критерия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8. Эффективная кривая.</w:t>
      </w:r>
    </w:p>
    <w:tbl>
      <w:tblPr>
        <w:tblW w:w="578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"/>
        <w:gridCol w:w="914"/>
        <w:gridCol w:w="1350"/>
        <w:gridCol w:w="1132"/>
        <w:gridCol w:w="1309"/>
      </w:tblGrid>
      <w:tr>
        <w:trPr/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212,5 </w:t>
            </w:r>
          </w:p>
        </w:tc>
        <w:tc>
          <w:tcPr>
            <w:tcW w:w="1350" w:type="dxa"/>
            <w:tcBorders/>
            <w:shd w:fill="FAFAFA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H1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</w:t>
            </w:r>
          </w:p>
        </w:tc>
      </w:tr>
      <w:tr>
        <w:trPr/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H3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50" w:type="dxa"/>
            <w:tcBorders/>
            <w:shd w:fill="FAFAFA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H3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55,14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1,6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0,25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0,35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0,02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r>
                <w:rPr>
                  <w:rFonts w:ascii="Cambria Math" w:hAnsi="Cambria Math"/>
                </w:rPr>
                <m:t xml:space="preserve">0,01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                 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⋅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10</m:t>
              </m:r>
            </m:e>
          </m:eqArr>
        </m:oMath>
      </m:oMathPara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108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2099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center"/>
      <w:rPr/>
    </w:pPr>
    <w:r>
      <w:rPr/>
      <w:t>Санкт-Петербург 2021</w:t>
    </w:r>
  </w:p>
  <w:p>
    <w:pPr>
      <w:pStyle w:val="NoSpacing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lear" w:pos="4677"/>
        <w:tab w:val="clear" w:pos="9355"/>
        <w:tab w:val="left" w:pos="2961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lineRule="auto" w:line="360"/>
      <w:jc w:val="center"/>
      <w:rPr/>
    </w:pPr>
    <w:r>
      <w:rPr/>
    </w:r>
  </w:p>
  <w:p>
    <w:pPr>
      <w:pStyle w:val="NoSpacing"/>
      <w:spacing w:lineRule="auto" w:line="360"/>
      <w:jc w:val="center"/>
      <w:rPr/>
    </w:pPr>
    <w:r>
      <w:rPr/>
      <w:t>МИНИСТЕРСТВО НАУКИ И ВЫСШЕГО ОБРАЗОВАНИЯ РОССИЙСКОЙ ФЕДЕРАЦИИ</w:t>
    </w:r>
  </w:p>
  <w:p>
    <w:pPr>
      <w:pStyle w:val="NoSpacing"/>
      <w:spacing w:lineRule="auto" w:line="360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>
    <w:pPr>
      <w:pStyle w:val="NoSpacing"/>
      <w:jc w:val="center"/>
      <w:rPr/>
    </w:pPr>
    <w:r>
      <w:rPr/>
      <w:t>«САНКТ-ПЕТЕРБУРГСКИЙ ГОСУДАРСТВЕННЫЙ УНИВЕРСИТЕТ</w:t>
    </w:r>
  </w:p>
  <w:p>
    <w:pPr>
      <w:pStyle w:val="NoSpacing"/>
      <w:jc w:val="center"/>
      <w:rPr/>
    </w:pPr>
    <w:r>
      <w:rPr/>
      <w:t>АЭРОКОСМИЧЕСКОГО ПРИБОРОСТРОЕНИЯ»</w:t>
    </w:r>
  </w:p>
  <w:p>
    <w:pPr>
      <w:pStyle w:val="NoSpacing"/>
      <w:jc w:val="center"/>
      <w:rPr/>
    </w:pPr>
    <w:r>
      <w:rPr/>
    </w:r>
  </w:p>
  <w:p>
    <w:pPr>
      <w:pStyle w:val="NoSpacing"/>
      <w:jc w:val="center"/>
      <w:rPr/>
    </w:pPr>
    <w:r>
      <w:rPr/>
      <w:t>КАФЕДРА КОМПЬЮТЕРНЫХ ТЕХНОЛОГИЙ</w:t>
    </w:r>
  </w:p>
  <w:p>
    <w:pPr>
      <w:pStyle w:val="NoSpacing"/>
      <w:jc w:val="center"/>
      <w:rPr/>
    </w:pPr>
    <w:r>
      <w:rPr/>
      <w:t>И ПРОГРАММНОЙ ИНЖЕНЕРИИ (КАФЕДРА №43)</w:t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Tahoma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Tahoma"/>
      <w:color w:val="1F3763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Tahoma"/>
      <w:i/>
      <w:iCs/>
      <w:color w:val="2F5496"/>
    </w:rPr>
  </w:style>
  <w:style w:type="character" w:styleId="DefaultParagraphFont">
    <w:name w:val="Default Paragraph Font"/>
    <w:qFormat/>
    <w:rPr/>
  </w:style>
  <w:style w:type="character" w:styleId="Style10">
    <w:name w:val="Без интервала Знак"/>
    <w:basedOn w:val="DefaultParagraph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  <w:lang w:eastAsia="zh-CN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Style14">
    <w:name w:val="Отчет ППС Знак"/>
    <w:basedOn w:val="21"/>
    <w:qFormat/>
    <w:rPr>
      <w:rFonts w:ascii="Cambria" w:hAnsi="Cambria" w:eastAsia="Calibri" w:cs="Tahoma"/>
      <w:b/>
      <w:color w:val="000000"/>
      <w:sz w:val="24"/>
      <w:szCs w:val="24"/>
      <w:lang w:eastAsia="zh-CN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сноски Знак"/>
    <w:basedOn w:val="DefaultParagraphFont"/>
    <w:qFormat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31">
    <w:name w:val="Заголовок 3 Знак"/>
    <w:basedOn w:val="DefaultParagraphFont"/>
    <w:qFormat/>
    <w:rPr>
      <w:rFonts w:ascii="Calibri Light" w:hAnsi="Calibri Light" w:eastAsia="Calibri" w:cs="Tahoma"/>
      <w:color w:val="1F3763"/>
    </w:rPr>
  </w:style>
  <w:style w:type="character" w:styleId="41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F5496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4"/>
      <w:szCs w:val="24"/>
      <w:lang w:val="ru-RU"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Отчет ППС"/>
    <w:basedOn w:val="2"/>
    <w:qFormat/>
    <w:pPr>
      <w:ind w:left="1134" w:right="0" w:hanging="425"/>
      <w:outlineLvl w:val="9"/>
    </w:pPr>
    <w:rPr>
      <w:rFonts w:ascii="Cambria" w:hAnsi="Cambria"/>
      <w:b/>
      <w:color w:val="000000"/>
      <w:sz w:val="24"/>
      <w:szCs w:val="24"/>
    </w:rPr>
  </w:style>
  <w:style w:type="paragraph" w:styleId="Style27">
    <w:name w:val="Footnote Text"/>
    <w:basedOn w:val="Normal"/>
    <w:pPr>
      <w:suppressAutoHyphens w:val="false"/>
    </w:pPr>
    <w:rPr>
      <w:sz w:val="20"/>
      <w:szCs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Style3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Application>LibreOffice/7.2.2.2$Windows_X86_64 LibreOffice_project/02b2acce88a210515b4a5bb2e46cbfb63fe97d56</Application>
  <AppVersion>15.0000</AppVersion>
  <Pages>6</Pages>
  <Words>336</Words>
  <Characters>2052</Characters>
  <CharactersWithSpaces>2298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2019-09-12T21:24:00Z</dcterms:created>
  <dc:creator>Evgeny Redgrave</dc:creator>
  <dc:description/>
  <dc:language>ru-RU</dc:language>
  <cp:lastModifiedBy/>
  <dcterms:modified xsi:type="dcterms:W3CDTF">2021-12-05T19:47:18Z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