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923B" w14:textId="77777777" w:rsidR="00A37299" w:rsidRDefault="00000000">
      <w:pPr>
        <w:spacing w:after="40"/>
      </w:pPr>
      <w:r>
        <w:rPr>
          <w:b/>
          <w:bCs/>
          <w:color w:val="1F3864"/>
          <w:sz w:val="44"/>
          <w:szCs w:val="44"/>
        </w:rPr>
        <w:t>Meridian SaaS</w:t>
      </w:r>
    </w:p>
    <w:p w14:paraId="7F41B02E" w14:textId="77777777" w:rsidR="00A37299" w:rsidRDefault="00000000">
      <w:pPr>
        <w:spacing w:after="200"/>
      </w:pPr>
      <w:r>
        <w:rPr>
          <w:b/>
          <w:bCs/>
          <w:color w:val="2E5C8A"/>
          <w:sz w:val="32"/>
          <w:szCs w:val="32"/>
        </w:rPr>
        <w:t>User Engagement Health Report</w:t>
      </w:r>
    </w:p>
    <w:p w14:paraId="1610D13F" w14:textId="73CDA0FF" w:rsidR="00A37299" w:rsidRDefault="00000000">
      <w:pPr>
        <w:spacing w:after="60"/>
      </w:pPr>
      <w:r>
        <w:rPr>
          <w:i/>
          <w:iCs/>
          <w:color w:val="595959"/>
          <w:sz w:val="20"/>
          <w:szCs w:val="20"/>
        </w:rPr>
        <w:t xml:space="preserve">Prepared by </w:t>
      </w:r>
      <w:r w:rsidR="00A001DB">
        <w:rPr>
          <w:i/>
          <w:iCs/>
          <w:color w:val="595959"/>
          <w:sz w:val="20"/>
          <w:szCs w:val="20"/>
        </w:rPr>
        <w:t>Fel</w:t>
      </w:r>
      <w:r>
        <w:rPr>
          <w:i/>
          <w:iCs/>
          <w:color w:val="595959"/>
          <w:sz w:val="20"/>
          <w:szCs w:val="20"/>
        </w:rPr>
        <w:t xml:space="preserve">icia </w:t>
      </w:r>
      <w:proofErr w:type="gramStart"/>
      <w:r>
        <w:rPr>
          <w:i/>
          <w:iCs/>
          <w:color w:val="595959"/>
          <w:sz w:val="20"/>
          <w:szCs w:val="20"/>
        </w:rPr>
        <w:t>Soyinka  |</w:t>
      </w:r>
      <w:proofErr w:type="gramEnd"/>
      <w:r>
        <w:rPr>
          <w:i/>
          <w:iCs/>
          <w:color w:val="595959"/>
          <w:sz w:val="20"/>
          <w:szCs w:val="20"/>
        </w:rPr>
        <w:t xml:space="preserve">  Portfolio Capstone </w:t>
      </w:r>
      <w:proofErr w:type="gramStart"/>
      <w:r>
        <w:rPr>
          <w:i/>
          <w:iCs/>
          <w:color w:val="595959"/>
          <w:sz w:val="20"/>
          <w:szCs w:val="20"/>
        </w:rPr>
        <w:t>Project  |</w:t>
      </w:r>
      <w:proofErr w:type="gramEnd"/>
      <w:r>
        <w:rPr>
          <w:i/>
          <w:iCs/>
          <w:color w:val="595959"/>
          <w:sz w:val="20"/>
          <w:szCs w:val="20"/>
        </w:rPr>
        <w:t xml:space="preserve">  August 2026</w:t>
      </w:r>
    </w:p>
    <w:p w14:paraId="1E380D2B" w14:textId="77777777" w:rsidR="00A37299" w:rsidRDefault="00000000">
      <w:pPr>
        <w:spacing w:after="400"/>
      </w:pPr>
      <w:r>
        <w:rPr>
          <w:i/>
          <w:iCs/>
          <w:color w:val="595959"/>
          <w:sz w:val="18"/>
          <w:szCs w:val="18"/>
        </w:rPr>
        <w:t>Data: Meridian SaaS sample dataset (Users, Sessions, Support Tickets), January–June 2024</w:t>
      </w:r>
    </w:p>
    <w:p w14:paraId="675DF5B2" w14:textId="77777777" w:rsidR="00A37299" w:rsidRDefault="00000000">
      <w:pPr>
        <w:pStyle w:val="Heading1"/>
      </w:pPr>
      <w:r>
        <w:t>Executive Summary</w:t>
      </w:r>
    </w:p>
    <w:p w14:paraId="1AA7AE05" w14:textId="4651F276" w:rsidR="00A37299" w:rsidRDefault="00000000">
      <w:pPr>
        <w:spacing w:after="160"/>
      </w:pPr>
      <w:r>
        <w:t>Meridian, a subscription software company, is losing engaged users. Monthly Active User (MAU) rate fell from 52.0% in January 2024 to 40.0% in June 2024</w:t>
      </w:r>
      <w:r w:rsidR="00A001DB">
        <w:t>,</w:t>
      </w:r>
      <w:r>
        <w:t xml:space="preserve"> a steady, uninterrupted six-month decline across a base of 24,500 registered users.</w:t>
      </w:r>
    </w:p>
    <w:p w14:paraId="2DCBAF10" w14:textId="7A726C7D" w:rsidR="00A37299" w:rsidRDefault="00000000">
      <w:pPr>
        <w:spacing w:after="160"/>
      </w:pPr>
      <w:r>
        <w:t>The drop-off is not explained by which plan a customer bought or which country they live in</w:t>
      </w:r>
      <w:r w:rsidR="00A001DB">
        <w:t>,</w:t>
      </w:r>
      <w:r>
        <w:t xml:space="preserve"> both are flat within a point or two across every group. It is explained by how long someone has been a customer: the longer a user's tenure, the less likely they are to still be active. This points to a lifecycle or onboarding problem, not a pricing or market problem.</w:t>
      </w:r>
    </w:p>
    <w:p w14:paraId="7A07C9F5" w14:textId="3195E39A" w:rsidR="00A37299" w:rsidRDefault="00000000">
      <w:pPr>
        <w:spacing w:after="160"/>
      </w:pPr>
      <w:r>
        <w:t>A related and serious finding: support tickets go unresolved or escalated 66.1% of the time, consistently across every ticket category. Combined with "Can't find what I need" being the single largest ticket category (29.9% of all tickets), this suggests users who get lost in the product are not getting rescued by support either</w:t>
      </w:r>
      <w:r w:rsidR="00A001DB">
        <w:t>,</w:t>
      </w:r>
      <w:r>
        <w:t xml:space="preserve"> a plausible contributor to why they eventually stop coming back.</w:t>
      </w:r>
    </w:p>
    <w:p w14:paraId="17DBB158" w14:textId="77777777" w:rsidR="00A37299" w:rsidRDefault="00000000">
      <w:pPr>
        <w:spacing w:after="160"/>
      </w:pPr>
      <w:r>
        <w:t>This report also flags two data quality issues that should be resolved before further analysis is trusted: a complete gap in session logging for April and May 2024, and a disengagement statistic that is suspiciously exact and should be re-verified against production data.</w:t>
      </w:r>
    </w:p>
    <w:p w14:paraId="622F41D3" w14:textId="77777777" w:rsidR="00A37299" w:rsidRDefault="00000000">
      <w:pPr>
        <w:pStyle w:val="Heading1"/>
      </w:pPr>
      <w:r>
        <w:t>Business Problem</w:t>
      </w:r>
    </w:p>
    <w:p w14:paraId="49FD3915" w14:textId="6A2AC70E" w:rsidR="00A37299" w:rsidRDefault="00000000">
      <w:pPr>
        <w:spacing w:after="160"/>
      </w:pPr>
      <w:r>
        <w:t>Meridian's product team needs to know whether falling engagement is a pricing problem, a market problem, or a product/support problem</w:t>
      </w:r>
      <w:r w:rsidR="00A001DB">
        <w:t xml:space="preserve">, </w:t>
      </w:r>
      <w:r>
        <w:t>because the fix is different in each case. This analysis was scoped to answer: who is disengaging, does it correlate with plan or geography, and is there a measurable link to the support experience?</w:t>
      </w:r>
    </w:p>
    <w:p w14:paraId="1283B705" w14:textId="77777777" w:rsidR="00A37299" w:rsidRDefault="00000000">
      <w:pPr>
        <w:pStyle w:val="Heading1"/>
      </w:pPr>
      <w:r>
        <w:t>Data &amp; Methodology</w:t>
      </w:r>
    </w:p>
    <w:p w14:paraId="6210ECDE" w14:textId="5AB04371" w:rsidR="00A37299" w:rsidRDefault="00000000">
      <w:pPr>
        <w:spacing w:after="160"/>
      </w:pPr>
      <w:r>
        <w:t>Three data sources covering January</w:t>
      </w:r>
      <w:r w:rsidR="00A001DB">
        <w:t xml:space="preserve"> - </w:t>
      </w:r>
      <w:r>
        <w:t>June 2024 were used:</w:t>
      </w:r>
    </w:p>
    <w:p w14:paraId="3E5BE760" w14:textId="77777777" w:rsidR="00A37299" w:rsidRDefault="00000000">
      <w:pPr>
        <w:pStyle w:val="ListParagraph"/>
        <w:numPr>
          <w:ilvl w:val="0"/>
          <w:numId w:val="2"/>
        </w:numPr>
        <w:spacing w:after="100"/>
      </w:pPr>
      <w:r>
        <w:t>Users (24,500 rows): signup date, last login date, plan type, country, and monthly active/inactive flags for each of the six months.</w:t>
      </w:r>
    </w:p>
    <w:p w14:paraId="66C828D6" w14:textId="77777777" w:rsidR="00A37299" w:rsidRDefault="00000000">
      <w:pPr>
        <w:pStyle w:val="ListParagraph"/>
        <w:numPr>
          <w:ilvl w:val="0"/>
          <w:numId w:val="2"/>
        </w:numPr>
        <w:spacing w:after="100"/>
      </w:pPr>
      <w:r>
        <w:t>Sessions (15,984 rows): individual product visits, including date, duration, and feature used.</w:t>
      </w:r>
    </w:p>
    <w:p w14:paraId="27D38737" w14:textId="77777777" w:rsidR="00A37299" w:rsidRDefault="00000000">
      <w:pPr>
        <w:pStyle w:val="ListParagraph"/>
        <w:numPr>
          <w:ilvl w:val="0"/>
          <w:numId w:val="2"/>
        </w:numPr>
        <w:spacing w:after="100"/>
      </w:pPr>
      <w:r>
        <w:t>Support Tickets (2,800 rows): ticket date, category, resolution time, and outcome (resolved, escalated, unresolved).</w:t>
      </w:r>
    </w:p>
    <w:p w14:paraId="78F70AEA" w14:textId="62EEFCBC" w:rsidR="00A37299" w:rsidRDefault="00000000">
      <w:pPr>
        <w:spacing w:after="160"/>
      </w:pPr>
      <w:r>
        <w:t>All figures in this report are drawn from formula-driven summary tables (COUNTIFS, SUMIFS, AVERAGEIFS) built directly on the raw data in the accompanying Excel workbook, so every number can be traced back to its source rows and recalculates automatically if the underlying data changes. No values were hand</w:t>
      </w:r>
      <w:r w:rsidR="0018749E">
        <w:t>-</w:t>
      </w:r>
      <w:r>
        <w:t>typed into the summary tables.</w:t>
      </w:r>
    </w:p>
    <w:p w14:paraId="386AAD37" w14:textId="77777777" w:rsidR="00A37299" w:rsidRDefault="00000000">
      <w:pPr>
        <w:pStyle w:val="Heading1"/>
      </w:pPr>
      <w:r>
        <w:t>Key Findings</w:t>
      </w:r>
    </w:p>
    <w:p w14:paraId="6F83FAB5" w14:textId="77777777" w:rsidR="00A37299" w:rsidRDefault="00000000">
      <w:pPr>
        <w:pStyle w:val="Heading2"/>
      </w:pPr>
      <w:r>
        <w:t>1. Engagement is declining steadily, month over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37299" w14:paraId="3BAC48C8" w14:textId="77777777">
        <w:tblPrEx>
          <w:tblCellMar>
            <w:top w:w="0" w:type="dxa"/>
            <w:bottom w:w="0" w:type="dxa"/>
          </w:tblCellMar>
        </w:tblPrEx>
        <w:trPr>
          <w:tblHeader/>
        </w:trPr>
        <w:tc>
          <w:tcPr>
            <w:tcW w:w="3120" w:type="dxa"/>
            <w:shd w:val="clear" w:color="auto" w:fill="2E5C8A"/>
            <w:tcMar>
              <w:top w:w="80" w:type="dxa"/>
              <w:left w:w="100" w:type="dxa"/>
              <w:bottom w:w="80" w:type="dxa"/>
              <w:right w:w="100" w:type="dxa"/>
            </w:tcMar>
          </w:tcPr>
          <w:p w14:paraId="3535E8E4" w14:textId="77777777" w:rsidR="00A37299" w:rsidRDefault="00000000">
            <w:r>
              <w:rPr>
                <w:b/>
                <w:bCs/>
                <w:color w:val="FFFFFF"/>
                <w:sz w:val="19"/>
                <w:szCs w:val="19"/>
              </w:rPr>
              <w:lastRenderedPageBreak/>
              <w:t>Month</w:t>
            </w:r>
          </w:p>
        </w:tc>
        <w:tc>
          <w:tcPr>
            <w:tcW w:w="3120" w:type="dxa"/>
            <w:shd w:val="clear" w:color="auto" w:fill="2E5C8A"/>
            <w:tcMar>
              <w:top w:w="80" w:type="dxa"/>
              <w:left w:w="100" w:type="dxa"/>
              <w:bottom w:w="80" w:type="dxa"/>
              <w:right w:w="100" w:type="dxa"/>
            </w:tcMar>
          </w:tcPr>
          <w:p w14:paraId="70344579" w14:textId="77777777" w:rsidR="00A37299" w:rsidRDefault="00000000">
            <w:r>
              <w:rPr>
                <w:b/>
                <w:bCs/>
                <w:color w:val="FFFFFF"/>
                <w:sz w:val="19"/>
                <w:szCs w:val="19"/>
              </w:rPr>
              <w:t>Active Users</w:t>
            </w:r>
          </w:p>
        </w:tc>
        <w:tc>
          <w:tcPr>
            <w:tcW w:w="3120" w:type="dxa"/>
            <w:shd w:val="clear" w:color="auto" w:fill="2E5C8A"/>
            <w:tcMar>
              <w:top w:w="80" w:type="dxa"/>
              <w:left w:w="100" w:type="dxa"/>
              <w:bottom w:w="80" w:type="dxa"/>
              <w:right w:w="100" w:type="dxa"/>
            </w:tcMar>
          </w:tcPr>
          <w:p w14:paraId="205A1A36" w14:textId="77777777" w:rsidR="00A37299" w:rsidRDefault="00000000">
            <w:r>
              <w:rPr>
                <w:b/>
                <w:bCs/>
                <w:color w:val="FFFFFF"/>
                <w:sz w:val="19"/>
                <w:szCs w:val="19"/>
              </w:rPr>
              <w:t>MAU Rate</w:t>
            </w:r>
          </w:p>
        </w:tc>
      </w:tr>
      <w:tr w:rsidR="00A37299" w14:paraId="1D8A14DB" w14:textId="77777777">
        <w:tblPrEx>
          <w:tblCellMar>
            <w:top w:w="0" w:type="dxa"/>
            <w:bottom w:w="0" w:type="dxa"/>
          </w:tblCellMar>
        </w:tblPrEx>
        <w:tc>
          <w:tcPr>
            <w:tcW w:w="3120" w:type="dxa"/>
            <w:tcMar>
              <w:top w:w="70" w:type="dxa"/>
              <w:left w:w="100" w:type="dxa"/>
              <w:bottom w:w="70" w:type="dxa"/>
              <w:right w:w="100" w:type="dxa"/>
            </w:tcMar>
          </w:tcPr>
          <w:p w14:paraId="5B70FF37" w14:textId="77777777" w:rsidR="00A37299" w:rsidRDefault="00000000">
            <w:r>
              <w:rPr>
                <w:sz w:val="19"/>
                <w:szCs w:val="19"/>
              </w:rPr>
              <w:t>January</w:t>
            </w:r>
          </w:p>
        </w:tc>
        <w:tc>
          <w:tcPr>
            <w:tcW w:w="3120" w:type="dxa"/>
            <w:tcMar>
              <w:top w:w="70" w:type="dxa"/>
              <w:left w:w="100" w:type="dxa"/>
              <w:bottom w:w="70" w:type="dxa"/>
              <w:right w:w="100" w:type="dxa"/>
            </w:tcMar>
          </w:tcPr>
          <w:p w14:paraId="18FBC3AA" w14:textId="77777777" w:rsidR="00A37299" w:rsidRDefault="00000000">
            <w:r>
              <w:rPr>
                <w:sz w:val="19"/>
                <w:szCs w:val="19"/>
              </w:rPr>
              <w:t>12,740</w:t>
            </w:r>
          </w:p>
        </w:tc>
        <w:tc>
          <w:tcPr>
            <w:tcW w:w="3120" w:type="dxa"/>
            <w:tcMar>
              <w:top w:w="70" w:type="dxa"/>
              <w:left w:w="100" w:type="dxa"/>
              <w:bottom w:w="70" w:type="dxa"/>
              <w:right w:w="100" w:type="dxa"/>
            </w:tcMar>
          </w:tcPr>
          <w:p w14:paraId="0D8E0CB4" w14:textId="77777777" w:rsidR="00A37299" w:rsidRDefault="00000000">
            <w:r>
              <w:rPr>
                <w:sz w:val="19"/>
                <w:szCs w:val="19"/>
              </w:rPr>
              <w:t>52.0%</w:t>
            </w:r>
          </w:p>
        </w:tc>
      </w:tr>
      <w:tr w:rsidR="00A37299" w14:paraId="46DD78FB" w14:textId="77777777">
        <w:tblPrEx>
          <w:tblCellMar>
            <w:top w:w="0" w:type="dxa"/>
            <w:bottom w:w="0" w:type="dxa"/>
          </w:tblCellMar>
        </w:tblPrEx>
        <w:tc>
          <w:tcPr>
            <w:tcW w:w="3120" w:type="dxa"/>
            <w:tcMar>
              <w:top w:w="70" w:type="dxa"/>
              <w:left w:w="100" w:type="dxa"/>
              <w:bottom w:w="70" w:type="dxa"/>
              <w:right w:w="100" w:type="dxa"/>
            </w:tcMar>
          </w:tcPr>
          <w:p w14:paraId="554EE9A1" w14:textId="77777777" w:rsidR="00A37299" w:rsidRDefault="00000000">
            <w:r>
              <w:rPr>
                <w:sz w:val="19"/>
                <w:szCs w:val="19"/>
              </w:rPr>
              <w:t>February</w:t>
            </w:r>
          </w:p>
        </w:tc>
        <w:tc>
          <w:tcPr>
            <w:tcW w:w="3120" w:type="dxa"/>
            <w:tcMar>
              <w:top w:w="70" w:type="dxa"/>
              <w:left w:w="100" w:type="dxa"/>
              <w:bottom w:w="70" w:type="dxa"/>
              <w:right w:w="100" w:type="dxa"/>
            </w:tcMar>
          </w:tcPr>
          <w:p w14:paraId="4F6597AF" w14:textId="77777777" w:rsidR="00A37299" w:rsidRDefault="00000000">
            <w:r>
              <w:rPr>
                <w:sz w:val="19"/>
                <w:szCs w:val="19"/>
              </w:rPr>
              <w:t>12,250</w:t>
            </w:r>
          </w:p>
        </w:tc>
        <w:tc>
          <w:tcPr>
            <w:tcW w:w="3120" w:type="dxa"/>
            <w:tcMar>
              <w:top w:w="70" w:type="dxa"/>
              <w:left w:w="100" w:type="dxa"/>
              <w:bottom w:w="70" w:type="dxa"/>
              <w:right w:w="100" w:type="dxa"/>
            </w:tcMar>
          </w:tcPr>
          <w:p w14:paraId="0778F862" w14:textId="77777777" w:rsidR="00A37299" w:rsidRDefault="00000000">
            <w:r>
              <w:rPr>
                <w:sz w:val="19"/>
                <w:szCs w:val="19"/>
              </w:rPr>
              <w:t>50.0%</w:t>
            </w:r>
          </w:p>
        </w:tc>
      </w:tr>
      <w:tr w:rsidR="00A37299" w14:paraId="2A9347B2" w14:textId="77777777">
        <w:tblPrEx>
          <w:tblCellMar>
            <w:top w:w="0" w:type="dxa"/>
            <w:bottom w:w="0" w:type="dxa"/>
          </w:tblCellMar>
        </w:tblPrEx>
        <w:tc>
          <w:tcPr>
            <w:tcW w:w="3120" w:type="dxa"/>
            <w:tcMar>
              <w:top w:w="70" w:type="dxa"/>
              <w:left w:w="100" w:type="dxa"/>
              <w:bottom w:w="70" w:type="dxa"/>
              <w:right w:w="100" w:type="dxa"/>
            </w:tcMar>
          </w:tcPr>
          <w:p w14:paraId="3977038F" w14:textId="77777777" w:rsidR="00A37299" w:rsidRDefault="00000000">
            <w:r>
              <w:rPr>
                <w:sz w:val="19"/>
                <w:szCs w:val="19"/>
              </w:rPr>
              <w:t>March</w:t>
            </w:r>
          </w:p>
        </w:tc>
        <w:tc>
          <w:tcPr>
            <w:tcW w:w="3120" w:type="dxa"/>
            <w:tcMar>
              <w:top w:w="70" w:type="dxa"/>
              <w:left w:w="100" w:type="dxa"/>
              <w:bottom w:w="70" w:type="dxa"/>
              <w:right w:w="100" w:type="dxa"/>
            </w:tcMar>
          </w:tcPr>
          <w:p w14:paraId="25D05EA4" w14:textId="77777777" w:rsidR="00A37299" w:rsidRDefault="00000000">
            <w:r>
              <w:rPr>
                <w:sz w:val="19"/>
                <w:szCs w:val="19"/>
              </w:rPr>
              <w:t>11,890</w:t>
            </w:r>
          </w:p>
        </w:tc>
        <w:tc>
          <w:tcPr>
            <w:tcW w:w="3120" w:type="dxa"/>
            <w:tcMar>
              <w:top w:w="70" w:type="dxa"/>
              <w:left w:w="100" w:type="dxa"/>
              <w:bottom w:w="70" w:type="dxa"/>
              <w:right w:w="100" w:type="dxa"/>
            </w:tcMar>
          </w:tcPr>
          <w:p w14:paraId="45CB7D50" w14:textId="77777777" w:rsidR="00A37299" w:rsidRDefault="00000000">
            <w:r>
              <w:rPr>
                <w:sz w:val="19"/>
                <w:szCs w:val="19"/>
              </w:rPr>
              <w:t>48.5%</w:t>
            </w:r>
          </w:p>
        </w:tc>
      </w:tr>
      <w:tr w:rsidR="00A37299" w14:paraId="6AFBC99B" w14:textId="77777777">
        <w:tblPrEx>
          <w:tblCellMar>
            <w:top w:w="0" w:type="dxa"/>
            <w:bottom w:w="0" w:type="dxa"/>
          </w:tblCellMar>
        </w:tblPrEx>
        <w:tc>
          <w:tcPr>
            <w:tcW w:w="3120" w:type="dxa"/>
            <w:tcMar>
              <w:top w:w="70" w:type="dxa"/>
              <w:left w:w="100" w:type="dxa"/>
              <w:bottom w:w="70" w:type="dxa"/>
              <w:right w:w="100" w:type="dxa"/>
            </w:tcMar>
          </w:tcPr>
          <w:p w14:paraId="6F324523" w14:textId="77777777" w:rsidR="00A37299" w:rsidRDefault="00000000">
            <w:r>
              <w:rPr>
                <w:sz w:val="19"/>
                <w:szCs w:val="19"/>
              </w:rPr>
              <w:t>April</w:t>
            </w:r>
          </w:p>
        </w:tc>
        <w:tc>
          <w:tcPr>
            <w:tcW w:w="3120" w:type="dxa"/>
            <w:tcMar>
              <w:top w:w="70" w:type="dxa"/>
              <w:left w:w="100" w:type="dxa"/>
              <w:bottom w:w="70" w:type="dxa"/>
              <w:right w:w="100" w:type="dxa"/>
            </w:tcMar>
          </w:tcPr>
          <w:p w14:paraId="769348DF" w14:textId="77777777" w:rsidR="00A37299" w:rsidRDefault="00000000">
            <w:r>
              <w:rPr>
                <w:sz w:val="19"/>
                <w:szCs w:val="19"/>
              </w:rPr>
              <w:t>11,200</w:t>
            </w:r>
          </w:p>
        </w:tc>
        <w:tc>
          <w:tcPr>
            <w:tcW w:w="3120" w:type="dxa"/>
            <w:tcMar>
              <w:top w:w="70" w:type="dxa"/>
              <w:left w:w="100" w:type="dxa"/>
              <w:bottom w:w="70" w:type="dxa"/>
              <w:right w:w="100" w:type="dxa"/>
            </w:tcMar>
          </w:tcPr>
          <w:p w14:paraId="0B5F8847" w14:textId="77777777" w:rsidR="00A37299" w:rsidRDefault="00000000">
            <w:r>
              <w:rPr>
                <w:sz w:val="19"/>
                <w:szCs w:val="19"/>
              </w:rPr>
              <w:t>45.7%</w:t>
            </w:r>
          </w:p>
        </w:tc>
      </w:tr>
      <w:tr w:rsidR="00A37299" w14:paraId="57A451F3" w14:textId="77777777">
        <w:tblPrEx>
          <w:tblCellMar>
            <w:top w:w="0" w:type="dxa"/>
            <w:bottom w:w="0" w:type="dxa"/>
          </w:tblCellMar>
        </w:tblPrEx>
        <w:tc>
          <w:tcPr>
            <w:tcW w:w="3120" w:type="dxa"/>
            <w:tcMar>
              <w:top w:w="70" w:type="dxa"/>
              <w:left w:w="100" w:type="dxa"/>
              <w:bottom w:w="70" w:type="dxa"/>
              <w:right w:w="100" w:type="dxa"/>
            </w:tcMar>
          </w:tcPr>
          <w:p w14:paraId="587239E4" w14:textId="77777777" w:rsidR="00A37299" w:rsidRDefault="00000000">
            <w:r>
              <w:rPr>
                <w:sz w:val="19"/>
                <w:szCs w:val="19"/>
              </w:rPr>
              <w:t>May</w:t>
            </w:r>
          </w:p>
        </w:tc>
        <w:tc>
          <w:tcPr>
            <w:tcW w:w="3120" w:type="dxa"/>
            <w:tcMar>
              <w:top w:w="70" w:type="dxa"/>
              <w:left w:w="100" w:type="dxa"/>
              <w:bottom w:w="70" w:type="dxa"/>
              <w:right w:w="100" w:type="dxa"/>
            </w:tcMar>
          </w:tcPr>
          <w:p w14:paraId="3123BFF6" w14:textId="77777777" w:rsidR="00A37299" w:rsidRDefault="00000000">
            <w:r>
              <w:rPr>
                <w:sz w:val="19"/>
                <w:szCs w:val="19"/>
              </w:rPr>
              <w:t>10,600</w:t>
            </w:r>
          </w:p>
        </w:tc>
        <w:tc>
          <w:tcPr>
            <w:tcW w:w="3120" w:type="dxa"/>
            <w:tcMar>
              <w:top w:w="70" w:type="dxa"/>
              <w:left w:w="100" w:type="dxa"/>
              <w:bottom w:w="70" w:type="dxa"/>
              <w:right w:w="100" w:type="dxa"/>
            </w:tcMar>
          </w:tcPr>
          <w:p w14:paraId="43881BEE" w14:textId="77777777" w:rsidR="00A37299" w:rsidRDefault="00000000">
            <w:r>
              <w:rPr>
                <w:sz w:val="19"/>
                <w:szCs w:val="19"/>
              </w:rPr>
              <w:t>43.3%</w:t>
            </w:r>
          </w:p>
        </w:tc>
      </w:tr>
      <w:tr w:rsidR="00A37299" w14:paraId="1BD126EC" w14:textId="77777777">
        <w:tblPrEx>
          <w:tblCellMar>
            <w:top w:w="0" w:type="dxa"/>
            <w:bottom w:w="0" w:type="dxa"/>
          </w:tblCellMar>
        </w:tblPrEx>
        <w:tc>
          <w:tcPr>
            <w:tcW w:w="3120" w:type="dxa"/>
            <w:tcMar>
              <w:top w:w="70" w:type="dxa"/>
              <w:left w:w="100" w:type="dxa"/>
              <w:bottom w:w="70" w:type="dxa"/>
              <w:right w:w="100" w:type="dxa"/>
            </w:tcMar>
          </w:tcPr>
          <w:p w14:paraId="55E8C4F9" w14:textId="77777777" w:rsidR="00A37299" w:rsidRDefault="00000000">
            <w:r>
              <w:rPr>
                <w:sz w:val="19"/>
                <w:szCs w:val="19"/>
              </w:rPr>
              <w:t>June</w:t>
            </w:r>
          </w:p>
        </w:tc>
        <w:tc>
          <w:tcPr>
            <w:tcW w:w="3120" w:type="dxa"/>
            <w:tcMar>
              <w:top w:w="70" w:type="dxa"/>
              <w:left w:w="100" w:type="dxa"/>
              <w:bottom w:w="70" w:type="dxa"/>
              <w:right w:w="100" w:type="dxa"/>
            </w:tcMar>
          </w:tcPr>
          <w:p w14:paraId="5DD95B4C" w14:textId="77777777" w:rsidR="00A37299" w:rsidRDefault="00000000">
            <w:r>
              <w:rPr>
                <w:sz w:val="19"/>
                <w:szCs w:val="19"/>
              </w:rPr>
              <w:t>9,800</w:t>
            </w:r>
          </w:p>
        </w:tc>
        <w:tc>
          <w:tcPr>
            <w:tcW w:w="3120" w:type="dxa"/>
            <w:tcMar>
              <w:top w:w="70" w:type="dxa"/>
              <w:left w:w="100" w:type="dxa"/>
              <w:bottom w:w="70" w:type="dxa"/>
              <w:right w:w="100" w:type="dxa"/>
            </w:tcMar>
          </w:tcPr>
          <w:p w14:paraId="76906074" w14:textId="77777777" w:rsidR="00A37299" w:rsidRDefault="00000000">
            <w:r>
              <w:rPr>
                <w:sz w:val="19"/>
                <w:szCs w:val="19"/>
              </w:rPr>
              <w:t>40.0%</w:t>
            </w:r>
          </w:p>
        </w:tc>
      </w:tr>
    </w:tbl>
    <w:p w14:paraId="41CEEB0D" w14:textId="77777777" w:rsidR="00A37299" w:rsidRDefault="00A37299">
      <w:pPr>
        <w:spacing w:after="160"/>
      </w:pPr>
    </w:p>
    <w:p w14:paraId="3A1C17DB" w14:textId="77777777" w:rsidR="00A37299" w:rsidRDefault="00000000">
      <w:pPr>
        <w:spacing w:after="160"/>
      </w:pPr>
      <w:r>
        <w:t xml:space="preserve">Meridian lost 12 percentage points of MAU rate in six months, with no month showing recovery. At this rate, engagement </w:t>
      </w:r>
      <w:proofErr w:type="gramStart"/>
      <w:r>
        <w:t>would</w:t>
      </w:r>
      <w:proofErr w:type="gramEnd"/>
      <w:r>
        <w:t xml:space="preserve"> continue falling well below 40% within another two quarters if nothing changes.</w:t>
      </w:r>
    </w:p>
    <w:p w14:paraId="62CC06FF" w14:textId="77777777" w:rsidR="00A37299" w:rsidRDefault="00000000">
      <w:pPr>
        <w:pStyle w:val="Heading2"/>
      </w:pPr>
      <w:r>
        <w:t>2. Plan type and country do not explain it</w:t>
      </w:r>
    </w:p>
    <w:p w14:paraId="483547B1" w14:textId="77777777" w:rsidR="00A37299" w:rsidRDefault="00000000">
      <w:pPr>
        <w:spacing w:after="160"/>
      </w:pPr>
      <w:r>
        <w:t>If disengagement were a pricing problem, cheaper or more expensive plans would show different behavior. They don't: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37299" w14:paraId="0A968972" w14:textId="77777777">
        <w:tblPrEx>
          <w:tblCellMar>
            <w:top w:w="0" w:type="dxa"/>
            <w:bottom w:w="0" w:type="dxa"/>
          </w:tblCellMar>
        </w:tblPrEx>
        <w:trPr>
          <w:tblHeader/>
        </w:trPr>
        <w:tc>
          <w:tcPr>
            <w:tcW w:w="2340" w:type="dxa"/>
            <w:shd w:val="clear" w:color="auto" w:fill="2E5C8A"/>
            <w:tcMar>
              <w:top w:w="80" w:type="dxa"/>
              <w:left w:w="100" w:type="dxa"/>
              <w:bottom w:w="80" w:type="dxa"/>
              <w:right w:w="100" w:type="dxa"/>
            </w:tcMar>
          </w:tcPr>
          <w:p w14:paraId="3F0C3016" w14:textId="77777777" w:rsidR="00A37299" w:rsidRDefault="00000000">
            <w:r>
              <w:rPr>
                <w:b/>
                <w:bCs/>
                <w:color w:val="FFFFFF"/>
                <w:sz w:val="19"/>
                <w:szCs w:val="19"/>
              </w:rPr>
              <w:t>Plan</w:t>
            </w:r>
          </w:p>
        </w:tc>
        <w:tc>
          <w:tcPr>
            <w:tcW w:w="2340" w:type="dxa"/>
            <w:shd w:val="clear" w:color="auto" w:fill="2E5C8A"/>
            <w:tcMar>
              <w:top w:w="80" w:type="dxa"/>
              <w:left w:w="100" w:type="dxa"/>
              <w:bottom w:w="80" w:type="dxa"/>
              <w:right w:w="100" w:type="dxa"/>
            </w:tcMar>
          </w:tcPr>
          <w:p w14:paraId="519D8D37" w14:textId="77777777" w:rsidR="00A37299" w:rsidRDefault="00000000">
            <w:r>
              <w:rPr>
                <w:b/>
                <w:bCs/>
                <w:color w:val="FFFFFF"/>
                <w:sz w:val="19"/>
                <w:szCs w:val="19"/>
              </w:rPr>
              <w:t>Users</w:t>
            </w:r>
          </w:p>
        </w:tc>
        <w:tc>
          <w:tcPr>
            <w:tcW w:w="2340" w:type="dxa"/>
            <w:shd w:val="clear" w:color="auto" w:fill="2E5C8A"/>
            <w:tcMar>
              <w:top w:w="80" w:type="dxa"/>
              <w:left w:w="100" w:type="dxa"/>
              <w:bottom w:w="80" w:type="dxa"/>
              <w:right w:w="100" w:type="dxa"/>
            </w:tcMar>
          </w:tcPr>
          <w:p w14:paraId="243F4CED" w14:textId="77777777" w:rsidR="00A37299" w:rsidRDefault="00000000">
            <w:r>
              <w:rPr>
                <w:b/>
                <w:bCs/>
                <w:color w:val="FFFFFF"/>
                <w:sz w:val="19"/>
                <w:szCs w:val="19"/>
              </w:rPr>
              <w:t>June Active Rate</w:t>
            </w:r>
          </w:p>
        </w:tc>
        <w:tc>
          <w:tcPr>
            <w:tcW w:w="2340" w:type="dxa"/>
            <w:shd w:val="clear" w:color="auto" w:fill="2E5C8A"/>
            <w:tcMar>
              <w:top w:w="80" w:type="dxa"/>
              <w:left w:w="100" w:type="dxa"/>
              <w:bottom w:w="80" w:type="dxa"/>
              <w:right w:w="100" w:type="dxa"/>
            </w:tcMar>
          </w:tcPr>
          <w:p w14:paraId="2B76E0B0" w14:textId="77777777" w:rsidR="00A37299" w:rsidRDefault="00000000">
            <w:r>
              <w:rPr>
                <w:b/>
                <w:bCs/>
                <w:color w:val="FFFFFF"/>
                <w:sz w:val="19"/>
                <w:szCs w:val="19"/>
              </w:rPr>
              <w:t>Avg. Active Months (of 6)</w:t>
            </w:r>
          </w:p>
        </w:tc>
      </w:tr>
      <w:tr w:rsidR="00A37299" w14:paraId="28E37CB5" w14:textId="77777777">
        <w:tblPrEx>
          <w:tblCellMar>
            <w:top w:w="0" w:type="dxa"/>
            <w:bottom w:w="0" w:type="dxa"/>
          </w:tblCellMar>
        </w:tblPrEx>
        <w:tc>
          <w:tcPr>
            <w:tcW w:w="2340" w:type="dxa"/>
            <w:tcMar>
              <w:top w:w="70" w:type="dxa"/>
              <w:left w:w="100" w:type="dxa"/>
              <w:bottom w:w="70" w:type="dxa"/>
              <w:right w:w="100" w:type="dxa"/>
            </w:tcMar>
          </w:tcPr>
          <w:p w14:paraId="4C239528" w14:textId="77777777" w:rsidR="00A37299" w:rsidRDefault="00000000">
            <w:r>
              <w:rPr>
                <w:sz w:val="19"/>
                <w:szCs w:val="19"/>
              </w:rPr>
              <w:t>Free</w:t>
            </w:r>
          </w:p>
        </w:tc>
        <w:tc>
          <w:tcPr>
            <w:tcW w:w="2340" w:type="dxa"/>
            <w:tcMar>
              <w:top w:w="70" w:type="dxa"/>
              <w:left w:w="100" w:type="dxa"/>
              <w:bottom w:w="70" w:type="dxa"/>
              <w:right w:w="100" w:type="dxa"/>
            </w:tcMar>
          </w:tcPr>
          <w:p w14:paraId="0C1E08F5" w14:textId="77777777" w:rsidR="00A37299" w:rsidRDefault="00000000">
            <w:r>
              <w:rPr>
                <w:sz w:val="19"/>
                <w:szCs w:val="19"/>
              </w:rPr>
              <w:t>6,211</w:t>
            </w:r>
          </w:p>
        </w:tc>
        <w:tc>
          <w:tcPr>
            <w:tcW w:w="2340" w:type="dxa"/>
            <w:tcMar>
              <w:top w:w="70" w:type="dxa"/>
              <w:left w:w="100" w:type="dxa"/>
              <w:bottom w:w="70" w:type="dxa"/>
              <w:right w:w="100" w:type="dxa"/>
            </w:tcMar>
          </w:tcPr>
          <w:p w14:paraId="774A6848" w14:textId="77777777" w:rsidR="00A37299" w:rsidRDefault="00000000">
            <w:r>
              <w:rPr>
                <w:sz w:val="19"/>
                <w:szCs w:val="19"/>
              </w:rPr>
              <w:t>39.1%</w:t>
            </w:r>
          </w:p>
        </w:tc>
        <w:tc>
          <w:tcPr>
            <w:tcW w:w="2340" w:type="dxa"/>
            <w:tcMar>
              <w:top w:w="70" w:type="dxa"/>
              <w:left w:w="100" w:type="dxa"/>
              <w:bottom w:w="70" w:type="dxa"/>
              <w:right w:w="100" w:type="dxa"/>
            </w:tcMar>
          </w:tcPr>
          <w:p w14:paraId="7C8F84B8" w14:textId="77777777" w:rsidR="00A37299" w:rsidRDefault="00000000">
            <w:r>
              <w:rPr>
                <w:sz w:val="19"/>
                <w:szCs w:val="19"/>
              </w:rPr>
              <w:t>2.74</w:t>
            </w:r>
          </w:p>
        </w:tc>
      </w:tr>
      <w:tr w:rsidR="00A37299" w14:paraId="24D87144" w14:textId="77777777">
        <w:tblPrEx>
          <w:tblCellMar>
            <w:top w:w="0" w:type="dxa"/>
            <w:bottom w:w="0" w:type="dxa"/>
          </w:tblCellMar>
        </w:tblPrEx>
        <w:tc>
          <w:tcPr>
            <w:tcW w:w="2340" w:type="dxa"/>
            <w:tcMar>
              <w:top w:w="70" w:type="dxa"/>
              <w:left w:w="100" w:type="dxa"/>
              <w:bottom w:w="70" w:type="dxa"/>
              <w:right w:w="100" w:type="dxa"/>
            </w:tcMar>
          </w:tcPr>
          <w:p w14:paraId="3A33FAF4" w14:textId="77777777" w:rsidR="00A37299" w:rsidRDefault="00000000">
            <w:r>
              <w:rPr>
                <w:sz w:val="19"/>
                <w:szCs w:val="19"/>
              </w:rPr>
              <w:t>Starter</w:t>
            </w:r>
          </w:p>
        </w:tc>
        <w:tc>
          <w:tcPr>
            <w:tcW w:w="2340" w:type="dxa"/>
            <w:tcMar>
              <w:top w:w="70" w:type="dxa"/>
              <w:left w:w="100" w:type="dxa"/>
              <w:bottom w:w="70" w:type="dxa"/>
              <w:right w:w="100" w:type="dxa"/>
            </w:tcMar>
          </w:tcPr>
          <w:p w14:paraId="772F3C40" w14:textId="77777777" w:rsidR="00A37299" w:rsidRDefault="00000000">
            <w:r>
              <w:rPr>
                <w:sz w:val="19"/>
                <w:szCs w:val="19"/>
              </w:rPr>
              <w:t>6,163</w:t>
            </w:r>
          </w:p>
        </w:tc>
        <w:tc>
          <w:tcPr>
            <w:tcW w:w="2340" w:type="dxa"/>
            <w:tcMar>
              <w:top w:w="70" w:type="dxa"/>
              <w:left w:w="100" w:type="dxa"/>
              <w:bottom w:w="70" w:type="dxa"/>
              <w:right w:w="100" w:type="dxa"/>
            </w:tcMar>
          </w:tcPr>
          <w:p w14:paraId="6A276CBE" w14:textId="77777777" w:rsidR="00A37299" w:rsidRDefault="00000000">
            <w:r>
              <w:rPr>
                <w:sz w:val="19"/>
                <w:szCs w:val="19"/>
              </w:rPr>
              <w:t>40.0%</w:t>
            </w:r>
          </w:p>
        </w:tc>
        <w:tc>
          <w:tcPr>
            <w:tcW w:w="2340" w:type="dxa"/>
            <w:tcMar>
              <w:top w:w="70" w:type="dxa"/>
              <w:left w:w="100" w:type="dxa"/>
              <w:bottom w:w="70" w:type="dxa"/>
              <w:right w:w="100" w:type="dxa"/>
            </w:tcMar>
          </w:tcPr>
          <w:p w14:paraId="05839ADB" w14:textId="77777777" w:rsidR="00A37299" w:rsidRDefault="00000000">
            <w:r>
              <w:rPr>
                <w:sz w:val="19"/>
                <w:szCs w:val="19"/>
              </w:rPr>
              <w:t>2.78</w:t>
            </w:r>
          </w:p>
        </w:tc>
      </w:tr>
      <w:tr w:rsidR="00A37299" w14:paraId="5B88A48A" w14:textId="77777777">
        <w:tblPrEx>
          <w:tblCellMar>
            <w:top w:w="0" w:type="dxa"/>
            <w:bottom w:w="0" w:type="dxa"/>
          </w:tblCellMar>
        </w:tblPrEx>
        <w:tc>
          <w:tcPr>
            <w:tcW w:w="2340" w:type="dxa"/>
            <w:tcMar>
              <w:top w:w="70" w:type="dxa"/>
              <w:left w:w="100" w:type="dxa"/>
              <w:bottom w:w="70" w:type="dxa"/>
              <w:right w:w="100" w:type="dxa"/>
            </w:tcMar>
          </w:tcPr>
          <w:p w14:paraId="1E7E0FE7" w14:textId="77777777" w:rsidR="00A37299" w:rsidRDefault="00000000">
            <w:r>
              <w:rPr>
                <w:sz w:val="19"/>
                <w:szCs w:val="19"/>
              </w:rPr>
              <w:t>Professional</w:t>
            </w:r>
          </w:p>
        </w:tc>
        <w:tc>
          <w:tcPr>
            <w:tcW w:w="2340" w:type="dxa"/>
            <w:tcMar>
              <w:top w:w="70" w:type="dxa"/>
              <w:left w:w="100" w:type="dxa"/>
              <w:bottom w:w="70" w:type="dxa"/>
              <w:right w:w="100" w:type="dxa"/>
            </w:tcMar>
          </w:tcPr>
          <w:p w14:paraId="6534CE5B" w14:textId="77777777" w:rsidR="00A37299" w:rsidRDefault="00000000">
            <w:r>
              <w:rPr>
                <w:sz w:val="19"/>
                <w:szCs w:val="19"/>
              </w:rPr>
              <w:t>6,087</w:t>
            </w:r>
          </w:p>
        </w:tc>
        <w:tc>
          <w:tcPr>
            <w:tcW w:w="2340" w:type="dxa"/>
            <w:tcMar>
              <w:top w:w="70" w:type="dxa"/>
              <w:left w:w="100" w:type="dxa"/>
              <w:bottom w:w="70" w:type="dxa"/>
              <w:right w:w="100" w:type="dxa"/>
            </w:tcMar>
          </w:tcPr>
          <w:p w14:paraId="35DD772A" w14:textId="77777777" w:rsidR="00A37299" w:rsidRDefault="00000000">
            <w:r>
              <w:rPr>
                <w:sz w:val="19"/>
                <w:szCs w:val="19"/>
              </w:rPr>
              <w:t>40.5%</w:t>
            </w:r>
          </w:p>
        </w:tc>
        <w:tc>
          <w:tcPr>
            <w:tcW w:w="2340" w:type="dxa"/>
            <w:tcMar>
              <w:top w:w="70" w:type="dxa"/>
              <w:left w:w="100" w:type="dxa"/>
              <w:bottom w:w="70" w:type="dxa"/>
              <w:right w:w="100" w:type="dxa"/>
            </w:tcMar>
          </w:tcPr>
          <w:p w14:paraId="0C3154A3" w14:textId="77777777" w:rsidR="00A37299" w:rsidRDefault="00000000">
            <w:r>
              <w:rPr>
                <w:sz w:val="19"/>
                <w:szCs w:val="19"/>
              </w:rPr>
              <w:t>2.83</w:t>
            </w:r>
          </w:p>
        </w:tc>
      </w:tr>
      <w:tr w:rsidR="00A37299" w14:paraId="444FE30E" w14:textId="77777777">
        <w:tblPrEx>
          <w:tblCellMar>
            <w:top w:w="0" w:type="dxa"/>
            <w:bottom w:w="0" w:type="dxa"/>
          </w:tblCellMar>
        </w:tblPrEx>
        <w:tc>
          <w:tcPr>
            <w:tcW w:w="2340" w:type="dxa"/>
            <w:tcMar>
              <w:top w:w="70" w:type="dxa"/>
              <w:left w:w="100" w:type="dxa"/>
              <w:bottom w:w="70" w:type="dxa"/>
              <w:right w:w="100" w:type="dxa"/>
            </w:tcMar>
          </w:tcPr>
          <w:p w14:paraId="241D2C3C" w14:textId="77777777" w:rsidR="00A37299" w:rsidRDefault="00000000">
            <w:r>
              <w:rPr>
                <w:sz w:val="19"/>
                <w:szCs w:val="19"/>
              </w:rPr>
              <w:t>Enterprise</w:t>
            </w:r>
          </w:p>
        </w:tc>
        <w:tc>
          <w:tcPr>
            <w:tcW w:w="2340" w:type="dxa"/>
            <w:tcMar>
              <w:top w:w="70" w:type="dxa"/>
              <w:left w:w="100" w:type="dxa"/>
              <w:bottom w:w="70" w:type="dxa"/>
              <w:right w:w="100" w:type="dxa"/>
            </w:tcMar>
          </w:tcPr>
          <w:p w14:paraId="0E36B512" w14:textId="77777777" w:rsidR="00A37299" w:rsidRDefault="00000000">
            <w:r>
              <w:rPr>
                <w:sz w:val="19"/>
                <w:szCs w:val="19"/>
              </w:rPr>
              <w:t>6,039</w:t>
            </w:r>
          </w:p>
        </w:tc>
        <w:tc>
          <w:tcPr>
            <w:tcW w:w="2340" w:type="dxa"/>
            <w:tcMar>
              <w:top w:w="70" w:type="dxa"/>
              <w:left w:w="100" w:type="dxa"/>
              <w:bottom w:w="70" w:type="dxa"/>
              <w:right w:w="100" w:type="dxa"/>
            </w:tcMar>
          </w:tcPr>
          <w:p w14:paraId="63CD1AA6" w14:textId="77777777" w:rsidR="00A37299" w:rsidRDefault="00000000">
            <w:r>
              <w:rPr>
                <w:sz w:val="19"/>
                <w:szCs w:val="19"/>
              </w:rPr>
              <w:t>40.4%</w:t>
            </w:r>
          </w:p>
        </w:tc>
        <w:tc>
          <w:tcPr>
            <w:tcW w:w="2340" w:type="dxa"/>
            <w:tcMar>
              <w:top w:w="70" w:type="dxa"/>
              <w:left w:w="100" w:type="dxa"/>
              <w:bottom w:w="70" w:type="dxa"/>
              <w:right w:w="100" w:type="dxa"/>
            </w:tcMar>
          </w:tcPr>
          <w:p w14:paraId="4E844B77" w14:textId="77777777" w:rsidR="00A37299" w:rsidRDefault="00000000">
            <w:r>
              <w:rPr>
                <w:sz w:val="19"/>
                <w:szCs w:val="19"/>
              </w:rPr>
              <w:t>2.82</w:t>
            </w:r>
          </w:p>
        </w:tc>
      </w:tr>
    </w:tbl>
    <w:p w14:paraId="47C66D39" w14:textId="77777777" w:rsidR="00A37299" w:rsidRDefault="00A37299">
      <w:pPr>
        <w:spacing w:after="160"/>
      </w:pPr>
    </w:p>
    <w:p w14:paraId="2258F515" w14:textId="74EE94E7" w:rsidR="00A37299" w:rsidRDefault="00000000">
      <w:pPr>
        <w:spacing w:after="160"/>
      </w:pPr>
      <w:r>
        <w:t>Country tells the same story</w:t>
      </w:r>
      <w:r w:rsidR="00EC2CC6">
        <w:t xml:space="preserve">, </w:t>
      </w:r>
      <w:r>
        <w:t>every one of the six countries in the dataset (Netherlands, Germany, Ireland, United Kingdom, Spain, France) falls between 39.2% and 40.6% June active rate. A spread that tight, across every plan and every country, rules out plan and geography as the driver.</w:t>
      </w:r>
    </w:p>
    <w:p w14:paraId="49BEE425" w14:textId="77777777" w:rsidR="00A37299" w:rsidRDefault="00000000">
      <w:pPr>
        <w:pStyle w:val="Heading2"/>
      </w:pPr>
      <w:r>
        <w:t>3. Tenure is the driver: engagement fades the longer someone has been a customer</w:t>
      </w:r>
    </w:p>
    <w:p w14:paraId="3B433E27" w14:textId="61C6D4B3" w:rsidR="00A37299" w:rsidRDefault="00000000">
      <w:pPr>
        <w:spacing w:after="160"/>
      </w:pPr>
      <w:r>
        <w:t>Grouping users by signup month tells a very different story than plan or country. Users who signed up in June 2023 were active only 0.08 of a possible 6 months by June 2024</w:t>
      </w:r>
      <w:r w:rsidR="00EC2CC6">
        <w:t xml:space="preserve">, </w:t>
      </w:r>
      <w:r>
        <w:t>essentially gone. Users who signed up in December 2023 or January 2024</w:t>
      </w:r>
      <w:r w:rsidR="00EC2CC6">
        <w:t xml:space="preserve">, </w:t>
      </w:r>
      <w:r>
        <w:t>who by June 2024</w:t>
      </w:r>
      <w:r w:rsidR="00EC2CC6">
        <w:t xml:space="preserve"> </w:t>
      </w:r>
      <w:r>
        <w:t>have also had a full 5-to-6-month window to be observed were active only 1.19 and 2.30 months respectively, still far below users who signed up more recently. This is not simply an artifact of newer users having had less time in the data window; even cohorts with a full observation window show progressively lower engagement the earlier they signed up. In practical terms: whatever hooks a new user into Meridian in month one wears off, and nothing is bringing users back after that.</w:t>
      </w:r>
    </w:p>
    <w:p w14:paraId="1DB4286D" w14:textId="19A2F099" w:rsidR="00A37299" w:rsidRDefault="00000000">
      <w:pPr>
        <w:spacing w:after="160"/>
      </w:pPr>
      <w:r>
        <w:t>This reframes the problem from "who is Meridian losing" (a demographic question) to "when does Meridian lose them" (a lifecycle question) which points toward onboarding, habit formation, and re-engagement work rather than pricing or regional strategy.</w:t>
      </w:r>
    </w:p>
    <w:p w14:paraId="237F914D" w14:textId="77777777" w:rsidR="00A37299" w:rsidRDefault="00000000">
      <w:pPr>
        <w:pStyle w:val="Heading2"/>
      </w:pPr>
      <w:r>
        <w:t>4. Support is failing broadly, not in one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784"/>
        <w:gridCol w:w="1784"/>
        <w:gridCol w:w="2175"/>
        <w:gridCol w:w="1812"/>
      </w:tblGrid>
      <w:tr w:rsidR="00A37299" w14:paraId="3D44E3A4" w14:textId="77777777">
        <w:tblPrEx>
          <w:tblCellMar>
            <w:top w:w="0" w:type="dxa"/>
            <w:bottom w:w="0" w:type="dxa"/>
          </w:tblCellMar>
        </w:tblPrEx>
        <w:trPr>
          <w:tblHeader/>
        </w:trPr>
        <w:tc>
          <w:tcPr>
            <w:tcW w:w="1872" w:type="dxa"/>
            <w:shd w:val="clear" w:color="auto" w:fill="2E5C8A"/>
            <w:tcMar>
              <w:top w:w="80" w:type="dxa"/>
              <w:left w:w="100" w:type="dxa"/>
              <w:bottom w:w="80" w:type="dxa"/>
              <w:right w:w="100" w:type="dxa"/>
            </w:tcMar>
          </w:tcPr>
          <w:p w14:paraId="6FF5F72F" w14:textId="77777777" w:rsidR="00A37299" w:rsidRDefault="00000000">
            <w:r>
              <w:rPr>
                <w:b/>
                <w:bCs/>
                <w:color w:val="FFFFFF"/>
                <w:sz w:val="19"/>
                <w:szCs w:val="19"/>
              </w:rPr>
              <w:lastRenderedPageBreak/>
              <w:t>Category</w:t>
            </w:r>
          </w:p>
        </w:tc>
        <w:tc>
          <w:tcPr>
            <w:tcW w:w="1872" w:type="dxa"/>
            <w:shd w:val="clear" w:color="auto" w:fill="2E5C8A"/>
            <w:tcMar>
              <w:top w:w="80" w:type="dxa"/>
              <w:left w:w="100" w:type="dxa"/>
              <w:bottom w:w="80" w:type="dxa"/>
              <w:right w:w="100" w:type="dxa"/>
            </w:tcMar>
          </w:tcPr>
          <w:p w14:paraId="4A18B977" w14:textId="77777777" w:rsidR="00A37299" w:rsidRDefault="00000000">
            <w:r>
              <w:rPr>
                <w:b/>
                <w:bCs/>
                <w:color w:val="FFFFFF"/>
                <w:sz w:val="19"/>
                <w:szCs w:val="19"/>
              </w:rPr>
              <w:t>Tickets</w:t>
            </w:r>
          </w:p>
        </w:tc>
        <w:tc>
          <w:tcPr>
            <w:tcW w:w="1872" w:type="dxa"/>
            <w:shd w:val="clear" w:color="auto" w:fill="2E5C8A"/>
            <w:tcMar>
              <w:top w:w="80" w:type="dxa"/>
              <w:left w:w="100" w:type="dxa"/>
              <w:bottom w:w="80" w:type="dxa"/>
              <w:right w:w="100" w:type="dxa"/>
            </w:tcMar>
          </w:tcPr>
          <w:p w14:paraId="318FD995" w14:textId="77777777" w:rsidR="00A37299" w:rsidRDefault="00000000">
            <w:r>
              <w:rPr>
                <w:b/>
                <w:bCs/>
                <w:color w:val="FFFFFF"/>
                <w:sz w:val="19"/>
                <w:szCs w:val="19"/>
              </w:rPr>
              <w:t>% of All Tickets</w:t>
            </w:r>
          </w:p>
        </w:tc>
        <w:tc>
          <w:tcPr>
            <w:tcW w:w="1872" w:type="dxa"/>
            <w:shd w:val="clear" w:color="auto" w:fill="2E5C8A"/>
            <w:tcMar>
              <w:top w:w="80" w:type="dxa"/>
              <w:left w:w="100" w:type="dxa"/>
              <w:bottom w:w="80" w:type="dxa"/>
              <w:right w:w="100" w:type="dxa"/>
            </w:tcMar>
          </w:tcPr>
          <w:p w14:paraId="769AEA50" w14:textId="77777777" w:rsidR="00A37299" w:rsidRDefault="00000000">
            <w:r>
              <w:rPr>
                <w:b/>
                <w:bCs/>
                <w:color w:val="FFFFFF"/>
                <w:sz w:val="19"/>
                <w:szCs w:val="19"/>
              </w:rPr>
              <w:t>Unresolved/Escalated Rate</w:t>
            </w:r>
          </w:p>
        </w:tc>
        <w:tc>
          <w:tcPr>
            <w:tcW w:w="1872" w:type="dxa"/>
            <w:shd w:val="clear" w:color="auto" w:fill="2E5C8A"/>
            <w:tcMar>
              <w:top w:w="80" w:type="dxa"/>
              <w:left w:w="100" w:type="dxa"/>
              <w:bottom w:w="80" w:type="dxa"/>
              <w:right w:w="100" w:type="dxa"/>
            </w:tcMar>
          </w:tcPr>
          <w:p w14:paraId="301C0051" w14:textId="77777777" w:rsidR="00A37299" w:rsidRDefault="00000000">
            <w:r>
              <w:rPr>
                <w:b/>
                <w:bCs/>
                <w:color w:val="FFFFFF"/>
                <w:sz w:val="19"/>
                <w:szCs w:val="19"/>
              </w:rPr>
              <w:t>Avg. Resolution (mins)</w:t>
            </w:r>
          </w:p>
        </w:tc>
      </w:tr>
      <w:tr w:rsidR="00A37299" w14:paraId="0BF52EF0" w14:textId="77777777">
        <w:tblPrEx>
          <w:tblCellMar>
            <w:top w:w="0" w:type="dxa"/>
            <w:bottom w:w="0" w:type="dxa"/>
          </w:tblCellMar>
        </w:tblPrEx>
        <w:tc>
          <w:tcPr>
            <w:tcW w:w="1872" w:type="dxa"/>
            <w:tcMar>
              <w:top w:w="70" w:type="dxa"/>
              <w:left w:w="100" w:type="dxa"/>
              <w:bottom w:w="70" w:type="dxa"/>
              <w:right w:w="100" w:type="dxa"/>
            </w:tcMar>
          </w:tcPr>
          <w:p w14:paraId="16DDD79B" w14:textId="77777777" w:rsidR="00A37299" w:rsidRDefault="00000000">
            <w:r>
              <w:rPr>
                <w:sz w:val="19"/>
                <w:szCs w:val="19"/>
              </w:rPr>
              <w:t>Can't find what I need</w:t>
            </w:r>
          </w:p>
        </w:tc>
        <w:tc>
          <w:tcPr>
            <w:tcW w:w="1872" w:type="dxa"/>
            <w:tcMar>
              <w:top w:w="70" w:type="dxa"/>
              <w:left w:w="100" w:type="dxa"/>
              <w:bottom w:w="70" w:type="dxa"/>
              <w:right w:w="100" w:type="dxa"/>
            </w:tcMar>
          </w:tcPr>
          <w:p w14:paraId="57A524A8" w14:textId="77777777" w:rsidR="00A37299" w:rsidRDefault="00000000">
            <w:r>
              <w:rPr>
                <w:sz w:val="19"/>
                <w:szCs w:val="19"/>
              </w:rPr>
              <w:t>838</w:t>
            </w:r>
          </w:p>
        </w:tc>
        <w:tc>
          <w:tcPr>
            <w:tcW w:w="1872" w:type="dxa"/>
            <w:tcMar>
              <w:top w:w="70" w:type="dxa"/>
              <w:left w:w="100" w:type="dxa"/>
              <w:bottom w:w="70" w:type="dxa"/>
              <w:right w:w="100" w:type="dxa"/>
            </w:tcMar>
          </w:tcPr>
          <w:p w14:paraId="757C2894" w14:textId="77777777" w:rsidR="00A37299" w:rsidRDefault="00000000">
            <w:r>
              <w:rPr>
                <w:sz w:val="19"/>
                <w:szCs w:val="19"/>
              </w:rPr>
              <w:t>29.9%</w:t>
            </w:r>
          </w:p>
        </w:tc>
        <w:tc>
          <w:tcPr>
            <w:tcW w:w="1872" w:type="dxa"/>
            <w:tcMar>
              <w:top w:w="70" w:type="dxa"/>
              <w:left w:w="100" w:type="dxa"/>
              <w:bottom w:w="70" w:type="dxa"/>
              <w:right w:w="100" w:type="dxa"/>
            </w:tcMar>
          </w:tcPr>
          <w:p w14:paraId="372DB705" w14:textId="77777777" w:rsidR="00A37299" w:rsidRDefault="00000000">
            <w:r>
              <w:rPr>
                <w:sz w:val="19"/>
                <w:szCs w:val="19"/>
              </w:rPr>
              <w:t>63.4%</w:t>
            </w:r>
          </w:p>
        </w:tc>
        <w:tc>
          <w:tcPr>
            <w:tcW w:w="1872" w:type="dxa"/>
            <w:tcMar>
              <w:top w:w="70" w:type="dxa"/>
              <w:left w:w="100" w:type="dxa"/>
              <w:bottom w:w="70" w:type="dxa"/>
              <w:right w:w="100" w:type="dxa"/>
            </w:tcMar>
          </w:tcPr>
          <w:p w14:paraId="6FD2FB07" w14:textId="77777777" w:rsidR="00A37299" w:rsidRDefault="00000000">
            <w:r>
              <w:rPr>
                <w:sz w:val="19"/>
                <w:szCs w:val="19"/>
              </w:rPr>
              <w:t>90.1</w:t>
            </w:r>
          </w:p>
        </w:tc>
      </w:tr>
      <w:tr w:rsidR="00A37299" w14:paraId="0CF61D61" w14:textId="77777777">
        <w:tblPrEx>
          <w:tblCellMar>
            <w:top w:w="0" w:type="dxa"/>
            <w:bottom w:w="0" w:type="dxa"/>
          </w:tblCellMar>
        </w:tblPrEx>
        <w:tc>
          <w:tcPr>
            <w:tcW w:w="1872" w:type="dxa"/>
            <w:tcMar>
              <w:top w:w="70" w:type="dxa"/>
              <w:left w:w="100" w:type="dxa"/>
              <w:bottom w:w="70" w:type="dxa"/>
              <w:right w:w="100" w:type="dxa"/>
            </w:tcMar>
          </w:tcPr>
          <w:p w14:paraId="5816562C" w14:textId="77777777" w:rsidR="00A37299" w:rsidRDefault="00000000">
            <w:r>
              <w:rPr>
                <w:sz w:val="19"/>
                <w:szCs w:val="19"/>
              </w:rPr>
              <w:t>Feature not working as expected</w:t>
            </w:r>
          </w:p>
        </w:tc>
        <w:tc>
          <w:tcPr>
            <w:tcW w:w="1872" w:type="dxa"/>
            <w:tcMar>
              <w:top w:w="70" w:type="dxa"/>
              <w:left w:w="100" w:type="dxa"/>
              <w:bottom w:w="70" w:type="dxa"/>
              <w:right w:w="100" w:type="dxa"/>
            </w:tcMar>
          </w:tcPr>
          <w:p w14:paraId="6BF4BD88" w14:textId="77777777" w:rsidR="00A37299" w:rsidRDefault="00000000">
            <w:r>
              <w:rPr>
                <w:sz w:val="19"/>
                <w:szCs w:val="19"/>
              </w:rPr>
              <w:t>580</w:t>
            </w:r>
          </w:p>
        </w:tc>
        <w:tc>
          <w:tcPr>
            <w:tcW w:w="1872" w:type="dxa"/>
            <w:tcMar>
              <w:top w:w="70" w:type="dxa"/>
              <w:left w:w="100" w:type="dxa"/>
              <w:bottom w:w="70" w:type="dxa"/>
              <w:right w:w="100" w:type="dxa"/>
            </w:tcMar>
          </w:tcPr>
          <w:p w14:paraId="27180BA9" w14:textId="77777777" w:rsidR="00A37299" w:rsidRDefault="00000000">
            <w:r>
              <w:rPr>
                <w:sz w:val="19"/>
                <w:szCs w:val="19"/>
              </w:rPr>
              <w:t>20.7%</w:t>
            </w:r>
          </w:p>
        </w:tc>
        <w:tc>
          <w:tcPr>
            <w:tcW w:w="1872" w:type="dxa"/>
            <w:tcMar>
              <w:top w:w="70" w:type="dxa"/>
              <w:left w:w="100" w:type="dxa"/>
              <w:bottom w:w="70" w:type="dxa"/>
              <w:right w:w="100" w:type="dxa"/>
            </w:tcMar>
          </w:tcPr>
          <w:p w14:paraId="6084129B" w14:textId="77777777" w:rsidR="00A37299" w:rsidRDefault="00000000">
            <w:r>
              <w:rPr>
                <w:sz w:val="19"/>
                <w:szCs w:val="19"/>
              </w:rPr>
              <w:t>69.8%</w:t>
            </w:r>
          </w:p>
        </w:tc>
        <w:tc>
          <w:tcPr>
            <w:tcW w:w="1872" w:type="dxa"/>
            <w:tcMar>
              <w:top w:w="70" w:type="dxa"/>
              <w:left w:w="100" w:type="dxa"/>
              <w:bottom w:w="70" w:type="dxa"/>
              <w:right w:w="100" w:type="dxa"/>
            </w:tcMar>
          </w:tcPr>
          <w:p w14:paraId="45CAB7B3" w14:textId="77777777" w:rsidR="00A37299" w:rsidRDefault="00000000">
            <w:r>
              <w:rPr>
                <w:sz w:val="19"/>
                <w:szCs w:val="19"/>
              </w:rPr>
              <w:t>92.0</w:t>
            </w:r>
          </w:p>
        </w:tc>
      </w:tr>
      <w:tr w:rsidR="00A37299" w14:paraId="3F3E374D" w14:textId="77777777">
        <w:tblPrEx>
          <w:tblCellMar>
            <w:top w:w="0" w:type="dxa"/>
            <w:bottom w:w="0" w:type="dxa"/>
          </w:tblCellMar>
        </w:tblPrEx>
        <w:tc>
          <w:tcPr>
            <w:tcW w:w="1872" w:type="dxa"/>
            <w:tcMar>
              <w:top w:w="70" w:type="dxa"/>
              <w:left w:w="100" w:type="dxa"/>
              <w:bottom w:w="70" w:type="dxa"/>
              <w:right w:w="100" w:type="dxa"/>
            </w:tcMar>
          </w:tcPr>
          <w:p w14:paraId="58D1D36D" w14:textId="77777777" w:rsidR="00A37299" w:rsidRDefault="00000000">
            <w:r>
              <w:rPr>
                <w:sz w:val="19"/>
                <w:szCs w:val="19"/>
              </w:rPr>
              <w:t>Billing query</w:t>
            </w:r>
          </w:p>
        </w:tc>
        <w:tc>
          <w:tcPr>
            <w:tcW w:w="1872" w:type="dxa"/>
            <w:tcMar>
              <w:top w:w="70" w:type="dxa"/>
              <w:left w:w="100" w:type="dxa"/>
              <w:bottom w:w="70" w:type="dxa"/>
              <w:right w:w="100" w:type="dxa"/>
            </w:tcMar>
          </w:tcPr>
          <w:p w14:paraId="04A8D77D" w14:textId="77777777" w:rsidR="00A37299" w:rsidRDefault="00000000">
            <w:r>
              <w:rPr>
                <w:sz w:val="19"/>
                <w:szCs w:val="19"/>
              </w:rPr>
              <w:t>558</w:t>
            </w:r>
          </w:p>
        </w:tc>
        <w:tc>
          <w:tcPr>
            <w:tcW w:w="1872" w:type="dxa"/>
            <w:tcMar>
              <w:top w:w="70" w:type="dxa"/>
              <w:left w:w="100" w:type="dxa"/>
              <w:bottom w:w="70" w:type="dxa"/>
              <w:right w:w="100" w:type="dxa"/>
            </w:tcMar>
          </w:tcPr>
          <w:p w14:paraId="5C5F968C" w14:textId="77777777" w:rsidR="00A37299" w:rsidRDefault="00000000">
            <w:r>
              <w:rPr>
                <w:sz w:val="19"/>
                <w:szCs w:val="19"/>
              </w:rPr>
              <w:t>19.9%</w:t>
            </w:r>
          </w:p>
        </w:tc>
        <w:tc>
          <w:tcPr>
            <w:tcW w:w="1872" w:type="dxa"/>
            <w:tcMar>
              <w:top w:w="70" w:type="dxa"/>
              <w:left w:w="100" w:type="dxa"/>
              <w:bottom w:w="70" w:type="dxa"/>
              <w:right w:w="100" w:type="dxa"/>
            </w:tcMar>
          </w:tcPr>
          <w:p w14:paraId="5A1F6548" w14:textId="77777777" w:rsidR="00A37299" w:rsidRDefault="00000000">
            <w:r>
              <w:rPr>
                <w:sz w:val="19"/>
                <w:szCs w:val="19"/>
              </w:rPr>
              <w:t>63.3%</w:t>
            </w:r>
          </w:p>
        </w:tc>
        <w:tc>
          <w:tcPr>
            <w:tcW w:w="1872" w:type="dxa"/>
            <w:tcMar>
              <w:top w:w="70" w:type="dxa"/>
              <w:left w:w="100" w:type="dxa"/>
              <w:bottom w:w="70" w:type="dxa"/>
              <w:right w:w="100" w:type="dxa"/>
            </w:tcMar>
          </w:tcPr>
          <w:p w14:paraId="017D4EA1" w14:textId="77777777" w:rsidR="00A37299" w:rsidRDefault="00000000">
            <w:r>
              <w:rPr>
                <w:sz w:val="19"/>
                <w:szCs w:val="19"/>
              </w:rPr>
              <w:t>78.6</w:t>
            </w:r>
          </w:p>
        </w:tc>
      </w:tr>
      <w:tr w:rsidR="00A37299" w14:paraId="06DF2452" w14:textId="77777777">
        <w:tblPrEx>
          <w:tblCellMar>
            <w:top w:w="0" w:type="dxa"/>
            <w:bottom w:w="0" w:type="dxa"/>
          </w:tblCellMar>
        </w:tblPrEx>
        <w:tc>
          <w:tcPr>
            <w:tcW w:w="1872" w:type="dxa"/>
            <w:tcMar>
              <w:top w:w="70" w:type="dxa"/>
              <w:left w:w="100" w:type="dxa"/>
              <w:bottom w:w="70" w:type="dxa"/>
              <w:right w:w="100" w:type="dxa"/>
            </w:tcMar>
          </w:tcPr>
          <w:p w14:paraId="50DC6362" w14:textId="77777777" w:rsidR="00A37299" w:rsidRDefault="00000000">
            <w:r>
              <w:rPr>
                <w:sz w:val="19"/>
                <w:szCs w:val="19"/>
              </w:rPr>
              <w:t>Integration issue</w:t>
            </w:r>
          </w:p>
        </w:tc>
        <w:tc>
          <w:tcPr>
            <w:tcW w:w="1872" w:type="dxa"/>
            <w:tcMar>
              <w:top w:w="70" w:type="dxa"/>
              <w:left w:w="100" w:type="dxa"/>
              <w:bottom w:w="70" w:type="dxa"/>
              <w:right w:w="100" w:type="dxa"/>
            </w:tcMar>
          </w:tcPr>
          <w:p w14:paraId="31DD86D0" w14:textId="77777777" w:rsidR="00A37299" w:rsidRDefault="00000000">
            <w:r>
              <w:rPr>
                <w:sz w:val="19"/>
                <w:szCs w:val="19"/>
              </w:rPr>
              <w:t>419</w:t>
            </w:r>
          </w:p>
        </w:tc>
        <w:tc>
          <w:tcPr>
            <w:tcW w:w="1872" w:type="dxa"/>
            <w:tcMar>
              <w:top w:w="70" w:type="dxa"/>
              <w:left w:w="100" w:type="dxa"/>
              <w:bottom w:w="70" w:type="dxa"/>
              <w:right w:w="100" w:type="dxa"/>
            </w:tcMar>
          </w:tcPr>
          <w:p w14:paraId="1A8995BC" w14:textId="77777777" w:rsidR="00A37299" w:rsidRDefault="00000000">
            <w:r>
              <w:rPr>
                <w:sz w:val="19"/>
                <w:szCs w:val="19"/>
              </w:rPr>
              <w:t>15.0%</w:t>
            </w:r>
          </w:p>
        </w:tc>
        <w:tc>
          <w:tcPr>
            <w:tcW w:w="1872" w:type="dxa"/>
            <w:tcMar>
              <w:top w:w="70" w:type="dxa"/>
              <w:left w:w="100" w:type="dxa"/>
              <w:bottom w:w="70" w:type="dxa"/>
              <w:right w:w="100" w:type="dxa"/>
            </w:tcMar>
          </w:tcPr>
          <w:p w14:paraId="2B41FB4E" w14:textId="77777777" w:rsidR="00A37299" w:rsidRDefault="00000000">
            <w:r>
              <w:rPr>
                <w:sz w:val="19"/>
                <w:szCs w:val="19"/>
              </w:rPr>
              <w:t>67.5%</w:t>
            </w:r>
          </w:p>
        </w:tc>
        <w:tc>
          <w:tcPr>
            <w:tcW w:w="1872" w:type="dxa"/>
            <w:tcMar>
              <w:top w:w="70" w:type="dxa"/>
              <w:left w:w="100" w:type="dxa"/>
              <w:bottom w:w="70" w:type="dxa"/>
              <w:right w:w="100" w:type="dxa"/>
            </w:tcMar>
          </w:tcPr>
          <w:p w14:paraId="1D52A70B" w14:textId="77777777" w:rsidR="00A37299" w:rsidRDefault="00000000">
            <w:r>
              <w:rPr>
                <w:sz w:val="19"/>
                <w:szCs w:val="19"/>
              </w:rPr>
              <w:t>80.3</w:t>
            </w:r>
          </w:p>
        </w:tc>
      </w:tr>
      <w:tr w:rsidR="00A37299" w14:paraId="1F8CC9B5" w14:textId="77777777">
        <w:tblPrEx>
          <w:tblCellMar>
            <w:top w:w="0" w:type="dxa"/>
            <w:bottom w:w="0" w:type="dxa"/>
          </w:tblCellMar>
        </w:tblPrEx>
        <w:tc>
          <w:tcPr>
            <w:tcW w:w="1872" w:type="dxa"/>
            <w:tcMar>
              <w:top w:w="70" w:type="dxa"/>
              <w:left w:w="100" w:type="dxa"/>
              <w:bottom w:w="70" w:type="dxa"/>
              <w:right w:w="100" w:type="dxa"/>
            </w:tcMar>
          </w:tcPr>
          <w:p w14:paraId="398110AB" w14:textId="77777777" w:rsidR="00A37299" w:rsidRDefault="00000000">
            <w:r>
              <w:rPr>
                <w:sz w:val="19"/>
                <w:szCs w:val="19"/>
              </w:rPr>
              <w:t>General enquiry</w:t>
            </w:r>
          </w:p>
        </w:tc>
        <w:tc>
          <w:tcPr>
            <w:tcW w:w="1872" w:type="dxa"/>
            <w:tcMar>
              <w:top w:w="70" w:type="dxa"/>
              <w:left w:w="100" w:type="dxa"/>
              <w:bottom w:w="70" w:type="dxa"/>
              <w:right w:w="100" w:type="dxa"/>
            </w:tcMar>
          </w:tcPr>
          <w:p w14:paraId="27693069" w14:textId="77777777" w:rsidR="00A37299" w:rsidRDefault="00000000">
            <w:r>
              <w:rPr>
                <w:sz w:val="19"/>
                <w:szCs w:val="19"/>
              </w:rPr>
              <w:t>204</w:t>
            </w:r>
          </w:p>
        </w:tc>
        <w:tc>
          <w:tcPr>
            <w:tcW w:w="1872" w:type="dxa"/>
            <w:tcMar>
              <w:top w:w="70" w:type="dxa"/>
              <w:left w:w="100" w:type="dxa"/>
              <w:bottom w:w="70" w:type="dxa"/>
              <w:right w:w="100" w:type="dxa"/>
            </w:tcMar>
          </w:tcPr>
          <w:p w14:paraId="09730025" w14:textId="77777777" w:rsidR="00A37299" w:rsidRDefault="00000000">
            <w:r>
              <w:rPr>
                <w:sz w:val="19"/>
                <w:szCs w:val="19"/>
              </w:rPr>
              <w:t>7.3%</w:t>
            </w:r>
          </w:p>
        </w:tc>
        <w:tc>
          <w:tcPr>
            <w:tcW w:w="1872" w:type="dxa"/>
            <w:tcMar>
              <w:top w:w="70" w:type="dxa"/>
              <w:left w:w="100" w:type="dxa"/>
              <w:bottom w:w="70" w:type="dxa"/>
              <w:right w:w="100" w:type="dxa"/>
            </w:tcMar>
          </w:tcPr>
          <w:p w14:paraId="1BD9304F" w14:textId="77777777" w:rsidR="00A37299" w:rsidRDefault="00000000">
            <w:r>
              <w:rPr>
                <w:sz w:val="19"/>
                <w:szCs w:val="19"/>
              </w:rPr>
              <w:t>72.1%</w:t>
            </w:r>
          </w:p>
        </w:tc>
        <w:tc>
          <w:tcPr>
            <w:tcW w:w="1872" w:type="dxa"/>
            <w:tcMar>
              <w:top w:w="70" w:type="dxa"/>
              <w:left w:w="100" w:type="dxa"/>
              <w:bottom w:w="70" w:type="dxa"/>
              <w:right w:w="100" w:type="dxa"/>
            </w:tcMar>
          </w:tcPr>
          <w:p w14:paraId="761F0842" w14:textId="77777777" w:rsidR="00A37299" w:rsidRDefault="00000000">
            <w:r>
              <w:rPr>
                <w:sz w:val="19"/>
                <w:szCs w:val="19"/>
              </w:rPr>
              <w:t>60.5</w:t>
            </w:r>
          </w:p>
        </w:tc>
      </w:tr>
      <w:tr w:rsidR="00A37299" w14:paraId="1C16B9DD" w14:textId="77777777">
        <w:tblPrEx>
          <w:tblCellMar>
            <w:top w:w="0" w:type="dxa"/>
            <w:bottom w:w="0" w:type="dxa"/>
          </w:tblCellMar>
        </w:tblPrEx>
        <w:tc>
          <w:tcPr>
            <w:tcW w:w="1872" w:type="dxa"/>
            <w:tcMar>
              <w:top w:w="70" w:type="dxa"/>
              <w:left w:w="100" w:type="dxa"/>
              <w:bottom w:w="70" w:type="dxa"/>
              <w:right w:w="100" w:type="dxa"/>
            </w:tcMar>
          </w:tcPr>
          <w:p w14:paraId="7722F6CC" w14:textId="77777777" w:rsidR="00A37299" w:rsidRDefault="00000000">
            <w:r>
              <w:rPr>
                <w:sz w:val="19"/>
                <w:szCs w:val="19"/>
              </w:rPr>
              <w:t>Feature request</w:t>
            </w:r>
          </w:p>
        </w:tc>
        <w:tc>
          <w:tcPr>
            <w:tcW w:w="1872" w:type="dxa"/>
            <w:tcMar>
              <w:top w:w="70" w:type="dxa"/>
              <w:left w:w="100" w:type="dxa"/>
              <w:bottom w:w="70" w:type="dxa"/>
              <w:right w:w="100" w:type="dxa"/>
            </w:tcMar>
          </w:tcPr>
          <w:p w14:paraId="1362EC58" w14:textId="77777777" w:rsidR="00A37299" w:rsidRDefault="00000000">
            <w:r>
              <w:rPr>
                <w:sz w:val="19"/>
                <w:szCs w:val="19"/>
              </w:rPr>
              <w:t>201</w:t>
            </w:r>
          </w:p>
        </w:tc>
        <w:tc>
          <w:tcPr>
            <w:tcW w:w="1872" w:type="dxa"/>
            <w:tcMar>
              <w:top w:w="70" w:type="dxa"/>
              <w:left w:w="100" w:type="dxa"/>
              <w:bottom w:w="70" w:type="dxa"/>
              <w:right w:w="100" w:type="dxa"/>
            </w:tcMar>
          </w:tcPr>
          <w:p w14:paraId="5511A5BD" w14:textId="77777777" w:rsidR="00A37299" w:rsidRDefault="00000000">
            <w:r>
              <w:rPr>
                <w:sz w:val="19"/>
                <w:szCs w:val="19"/>
              </w:rPr>
              <w:t>7.2%</w:t>
            </w:r>
          </w:p>
        </w:tc>
        <w:tc>
          <w:tcPr>
            <w:tcW w:w="1872" w:type="dxa"/>
            <w:tcMar>
              <w:top w:w="70" w:type="dxa"/>
              <w:left w:w="100" w:type="dxa"/>
              <w:bottom w:w="70" w:type="dxa"/>
              <w:right w:w="100" w:type="dxa"/>
            </w:tcMar>
          </w:tcPr>
          <w:p w14:paraId="21101F3A" w14:textId="77777777" w:rsidR="00A37299" w:rsidRDefault="00000000">
            <w:r>
              <w:rPr>
                <w:sz w:val="19"/>
                <w:szCs w:val="19"/>
              </w:rPr>
              <w:t>65.2%</w:t>
            </w:r>
          </w:p>
        </w:tc>
        <w:tc>
          <w:tcPr>
            <w:tcW w:w="1872" w:type="dxa"/>
            <w:tcMar>
              <w:top w:w="70" w:type="dxa"/>
              <w:left w:w="100" w:type="dxa"/>
              <w:bottom w:w="70" w:type="dxa"/>
              <w:right w:w="100" w:type="dxa"/>
            </w:tcMar>
          </w:tcPr>
          <w:p w14:paraId="028AA634" w14:textId="77777777" w:rsidR="00A37299" w:rsidRDefault="00000000">
            <w:r>
              <w:rPr>
                <w:sz w:val="19"/>
                <w:szCs w:val="19"/>
              </w:rPr>
              <w:t>64.5</w:t>
            </w:r>
          </w:p>
        </w:tc>
      </w:tr>
    </w:tbl>
    <w:p w14:paraId="2EE503C4" w14:textId="77777777" w:rsidR="00A37299" w:rsidRDefault="00A37299">
      <w:pPr>
        <w:spacing w:after="160"/>
      </w:pPr>
    </w:p>
    <w:p w14:paraId="22CE54B1" w14:textId="4BAB1DCA" w:rsidR="00A37299" w:rsidRDefault="00000000">
      <w:pPr>
        <w:spacing w:after="160"/>
      </w:pPr>
      <w:r>
        <w:t>Across all 2,800 tickets, 66.1% end in escalation or non-resolution, and that rate barely moves between categories (63%–72%). Resolution time doesn't explain it either</w:t>
      </w:r>
      <w:r w:rsidR="0018749E">
        <w:t>,</w:t>
      </w:r>
      <w:r>
        <w:t xml:space="preserve"> tickets that get resolved take about the same time (81.5 minutes) as ones that don't (83.7 minutes). This pattern looks like a support process or capacity issue affecting every ticket type equally, rather than a handful of hard problems dragging the average down.</w:t>
      </w:r>
    </w:p>
    <w:p w14:paraId="6093BFA6" w14:textId="42F82A73" w:rsidR="00A37299" w:rsidRDefault="00000000">
      <w:pPr>
        <w:spacing w:after="160"/>
      </w:pPr>
      <w:r>
        <w:t>The largest single category, "Can't find what I need," is a navigation/UX complaint, not a bug report</w:t>
      </w:r>
      <w:r w:rsidR="0018749E">
        <w:t xml:space="preserve">, </w:t>
      </w:r>
      <w:r>
        <w:t>and it's the single biggest reason customers contact support at all.</w:t>
      </w:r>
    </w:p>
    <w:p w14:paraId="1F2C29BC" w14:textId="109D5C75" w:rsidR="00A37299" w:rsidRDefault="00000000">
      <w:pPr>
        <w:pStyle w:val="Heading2"/>
      </w:pPr>
      <w:r>
        <w:t>5. The most severely disengaged group is large and worth re-verifying</w:t>
      </w:r>
    </w:p>
    <w:p w14:paraId="7C49D062" w14:textId="6E9A2410" w:rsidR="00A37299" w:rsidRDefault="00000000">
      <w:pPr>
        <w:spacing w:after="160"/>
      </w:pPr>
      <w:r>
        <w:t>7,350 users (30.0% of the entire 24,500-user base) signed up on or before January 31, 2024, and have not logged in since April 1, 2024</w:t>
      </w:r>
      <w:r w:rsidR="0018749E">
        <w:t>,</w:t>
      </w:r>
      <w:r>
        <w:t xml:space="preserve"> a 90-day-plus silence. Notably, this figure equals 100% of everyone who signed up in that window; every established user in the dataset falls into the quiet group. A spread that perfectly uniform is unusual for real customer behavior and should be re-verified against Meridian's production login data before being used in a business decision</w:t>
      </w:r>
      <w:r w:rsidR="0018749E">
        <w:t xml:space="preserve">, </w:t>
      </w:r>
      <w:r>
        <w:t>it may be an artifact of how this sample dataset was generated rather than a literal real-world rate. Even so, the underlying magnitude (roughly 3 in 10 customers going dark) is consistent with the broader MAU decline and is unlikely to be entirely a data artifact.</w:t>
      </w:r>
    </w:p>
    <w:p w14:paraId="36CC3D8F" w14:textId="77777777" w:rsidR="00A37299" w:rsidRDefault="00000000">
      <w:pPr>
        <w:pStyle w:val="Heading1"/>
      </w:pPr>
      <w:r>
        <w:t>Data Quality Notes</w:t>
      </w:r>
    </w:p>
    <w:p w14:paraId="54625776" w14:textId="14A2B8E1" w:rsidR="00A37299" w:rsidRDefault="00000000">
      <w:pPr>
        <w:pStyle w:val="ListParagraph"/>
        <w:numPr>
          <w:ilvl w:val="0"/>
          <w:numId w:val="2"/>
        </w:numPr>
        <w:spacing w:after="100"/>
      </w:pPr>
      <w:r>
        <w:t>The Sessions tab has zero recorded sessions for April and May 2024, then a spike to 10,063 sessions in June</w:t>
      </w:r>
      <w:r w:rsidR="00EC2CC6">
        <w:t>,</w:t>
      </w:r>
      <w:r>
        <w:t xml:space="preserve"> more than five times a typical month (Jan</w:t>
      </w:r>
      <w:r w:rsidR="00EC2CC6">
        <w:t xml:space="preserve"> - </w:t>
      </w:r>
      <w:r>
        <w:t>Mar averaged about 1,970/month). Any feature-usage trend drawn from March through June should be treated as unreliable until this gap is explained by Meridian's data/engineering team.</w:t>
      </w:r>
    </w:p>
    <w:p w14:paraId="5BC232C4" w14:textId="77777777" w:rsidR="00A37299" w:rsidRDefault="00000000">
      <w:pPr>
        <w:pStyle w:val="ListParagraph"/>
        <w:numPr>
          <w:ilvl w:val="0"/>
          <w:numId w:val="2"/>
        </w:numPr>
        <w:spacing w:after="100"/>
      </w:pPr>
      <w:r>
        <w:t>The 100% overlap between "established users" and "disengaged users" described above is too clean to take at face value and should be validated against live data.</w:t>
      </w:r>
    </w:p>
    <w:p w14:paraId="44226E6E" w14:textId="77777777" w:rsidR="00A37299" w:rsidRDefault="00000000">
      <w:pPr>
        <w:pStyle w:val="Heading1"/>
      </w:pPr>
      <w:r>
        <w:t>Recommendations</w:t>
      </w:r>
    </w:p>
    <w:p w14:paraId="77F35B02" w14:textId="1C3F963D" w:rsidR="00A37299" w:rsidRDefault="00000000">
      <w:pPr>
        <w:pStyle w:val="ListParagraph"/>
        <w:numPr>
          <w:ilvl w:val="0"/>
          <w:numId w:val="2"/>
        </w:numPr>
        <w:spacing w:after="100"/>
      </w:pPr>
      <w:r>
        <w:t>Build a lifecycle-based re-engagement program, not a plan or region-based one. Since tenure</w:t>
      </w:r>
      <w:r w:rsidR="00EC2CC6">
        <w:t xml:space="preserve">, </w:t>
      </w:r>
      <w:r>
        <w:t>not plan or country predicts disengagement, target outreach and win-back campaigns by "months since signup," starting before day 90 when users are still recoverable.</w:t>
      </w:r>
    </w:p>
    <w:p w14:paraId="4DF74EE4" w14:textId="060C1979" w:rsidR="00A37299" w:rsidRDefault="00000000">
      <w:pPr>
        <w:pStyle w:val="ListParagraph"/>
        <w:numPr>
          <w:ilvl w:val="0"/>
          <w:numId w:val="2"/>
        </w:numPr>
        <w:spacing w:after="100"/>
      </w:pPr>
      <w:r>
        <w:t>Treat the support unresolved/escalated rate as a company</w:t>
      </w:r>
      <w:r w:rsidR="00EC2CC6">
        <w:t>-</w:t>
      </w:r>
      <w:r>
        <w:t>wide process problem. A 66% ba</w:t>
      </w:r>
      <w:r w:rsidR="00EC2CC6">
        <w:t>d-</w:t>
      </w:r>
      <w:r>
        <w:t>outcome rate spread evenly across categories points to staffing, tooling, or workflow investigate the support process itself rather than category</w:t>
      </w:r>
      <w:r w:rsidR="00EC2CC6">
        <w:t>-</w:t>
      </w:r>
      <w:r>
        <w:t>specific fixes.</w:t>
      </w:r>
    </w:p>
    <w:p w14:paraId="239A61B6" w14:textId="17555BEF" w:rsidR="00A37299" w:rsidRDefault="00000000">
      <w:pPr>
        <w:pStyle w:val="ListParagraph"/>
        <w:numPr>
          <w:ilvl w:val="0"/>
          <w:numId w:val="2"/>
        </w:numPr>
        <w:spacing w:after="100"/>
      </w:pPr>
      <w:r>
        <w:lastRenderedPageBreak/>
        <w:t>Fix the "Can't find what I need" problem at the product level. It's the top ticket category and a navigation issue</w:t>
      </w:r>
      <w:r w:rsidR="00EC2CC6">
        <w:t>,</w:t>
      </w:r>
      <w:r>
        <w:t xml:space="preserve"> solving it in-product (better search, clearer onboarding, in-app guidance) would reduce ticket volume and may directly improve early retention.</w:t>
      </w:r>
    </w:p>
    <w:p w14:paraId="74A357A2" w14:textId="77777777" w:rsidR="00A37299" w:rsidRDefault="00000000">
      <w:pPr>
        <w:pStyle w:val="ListParagraph"/>
        <w:numPr>
          <w:ilvl w:val="0"/>
          <w:numId w:val="2"/>
        </w:numPr>
        <w:spacing w:after="100"/>
      </w:pPr>
      <w:r>
        <w:t>Do not spend budget on plan-tier or region-specific retention fixes for this problem. The data rules both out as causes; that budget is better spent on onboarding and lifecycle work.</w:t>
      </w:r>
    </w:p>
    <w:p w14:paraId="3965DDDC" w14:textId="77777777" w:rsidR="00A37299" w:rsidRDefault="00000000">
      <w:pPr>
        <w:pStyle w:val="ListParagraph"/>
        <w:numPr>
          <w:ilvl w:val="0"/>
          <w:numId w:val="2"/>
        </w:numPr>
        <w:spacing w:after="100"/>
      </w:pPr>
      <w:r>
        <w:t>Before presenting the 30% disengagement figure externally, confirm it against Meridian's live login data and fix the April/May session-logging gap so future analysis doesn't inherit the same blind spot.</w:t>
      </w:r>
    </w:p>
    <w:p w14:paraId="13FD0C14" w14:textId="77777777" w:rsidR="00A37299" w:rsidRDefault="00000000">
      <w:pPr>
        <w:pStyle w:val="Heading1"/>
      </w:pPr>
      <w:r>
        <w:t>Conclusion</w:t>
      </w:r>
    </w:p>
    <w:p w14:paraId="6DC515DB" w14:textId="133C7514" w:rsidR="00A37299" w:rsidRDefault="00000000">
      <w:pPr>
        <w:spacing w:after="160"/>
      </w:pPr>
      <w:r>
        <w:t>Meridian's engagement decline is real, steady, and not explained by pricing or geography. It is best explained by what happens (or doesn't happen) to a customer in their first few months, compounded by a support experience that fails two-thirds of the time no matter what the customer asks about. The clearest next step is a lifecycle-focused retention effort paired with a support process review backed by cleaner session-logging data than Meridian currently has.</w:t>
      </w:r>
    </w:p>
    <w:p w14:paraId="3CE47469" w14:textId="77777777" w:rsidR="00A37299" w:rsidRDefault="00A37299">
      <w:pPr>
        <w:spacing w:before="400"/>
      </w:pPr>
    </w:p>
    <w:p w14:paraId="2352B1BE" w14:textId="77777777" w:rsidR="00A37299" w:rsidRDefault="00000000">
      <w:r>
        <w:rPr>
          <w:i/>
          <w:iCs/>
          <w:color w:val="595959"/>
          <w:sz w:val="16"/>
          <w:szCs w:val="16"/>
        </w:rPr>
        <w:t xml:space="preserve">Note: Meridian is a fictional </w:t>
      </w:r>
      <w:proofErr w:type="gramStart"/>
      <w:r>
        <w:rPr>
          <w:i/>
          <w:iCs/>
          <w:color w:val="595959"/>
          <w:sz w:val="16"/>
          <w:szCs w:val="16"/>
        </w:rPr>
        <w:t>company</w:t>
      </w:r>
      <w:proofErr w:type="gramEnd"/>
      <w:r>
        <w:rPr>
          <w:i/>
          <w:iCs/>
          <w:color w:val="595959"/>
          <w:sz w:val="16"/>
          <w:szCs w:val="16"/>
        </w:rPr>
        <w:t xml:space="preserve"> and this dataset is a sample used for portfolio/training purposes.</w:t>
      </w:r>
    </w:p>
    <w:sectPr w:rsidR="00A372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435B" w14:textId="77777777" w:rsidR="008943AB" w:rsidRDefault="008943AB">
      <w:r>
        <w:separator/>
      </w:r>
    </w:p>
  </w:endnote>
  <w:endnote w:type="continuationSeparator" w:id="0">
    <w:p w14:paraId="6CEE39BD" w14:textId="77777777" w:rsidR="008943AB" w:rsidRDefault="0089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1E7A" w14:textId="77777777" w:rsidR="00A3729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001D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1A97" w14:textId="77777777" w:rsidR="008943AB" w:rsidRDefault="008943AB">
      <w:r>
        <w:separator/>
      </w:r>
    </w:p>
  </w:footnote>
  <w:footnote w:type="continuationSeparator" w:id="0">
    <w:p w14:paraId="35C9E978" w14:textId="77777777" w:rsidR="008943AB" w:rsidRDefault="00894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08D5" w14:textId="77777777" w:rsidR="00A37299" w:rsidRDefault="00000000">
    <w:pPr>
      <w:pBdr>
        <w:bottom w:val="single" w:sz="4" w:space="0" w:color="D9D9D9"/>
      </w:pBdr>
    </w:pPr>
    <w:r>
      <w:rPr>
        <w:color w:val="595959"/>
        <w:sz w:val="16"/>
        <w:szCs w:val="16"/>
      </w:rPr>
      <w:t>Meridian SaaS — Engagement Health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82C26"/>
    <w:multiLevelType w:val="hybridMultilevel"/>
    <w:tmpl w:val="DE3EA65E"/>
    <w:lvl w:ilvl="0" w:tplc="E80A665A">
      <w:start w:val="1"/>
      <w:numFmt w:val="bullet"/>
      <w:lvlText w:val="●"/>
      <w:lvlJc w:val="left"/>
      <w:pPr>
        <w:ind w:left="720" w:hanging="360"/>
      </w:pPr>
    </w:lvl>
    <w:lvl w:ilvl="1" w:tplc="22883D24">
      <w:start w:val="1"/>
      <w:numFmt w:val="bullet"/>
      <w:lvlText w:val="○"/>
      <w:lvlJc w:val="left"/>
      <w:pPr>
        <w:ind w:left="1440" w:hanging="360"/>
      </w:pPr>
    </w:lvl>
    <w:lvl w:ilvl="2" w:tplc="210295FE">
      <w:start w:val="1"/>
      <w:numFmt w:val="bullet"/>
      <w:lvlText w:val="■"/>
      <w:lvlJc w:val="left"/>
      <w:pPr>
        <w:ind w:left="2160" w:hanging="360"/>
      </w:pPr>
    </w:lvl>
    <w:lvl w:ilvl="3" w:tplc="BAD4D6E6">
      <w:start w:val="1"/>
      <w:numFmt w:val="bullet"/>
      <w:lvlText w:val="●"/>
      <w:lvlJc w:val="left"/>
      <w:pPr>
        <w:ind w:left="2880" w:hanging="360"/>
      </w:pPr>
    </w:lvl>
    <w:lvl w:ilvl="4" w:tplc="AE7A2280">
      <w:start w:val="1"/>
      <w:numFmt w:val="bullet"/>
      <w:lvlText w:val="○"/>
      <w:lvlJc w:val="left"/>
      <w:pPr>
        <w:ind w:left="3600" w:hanging="360"/>
      </w:pPr>
    </w:lvl>
    <w:lvl w:ilvl="5" w:tplc="E108B130">
      <w:start w:val="1"/>
      <w:numFmt w:val="bullet"/>
      <w:lvlText w:val="■"/>
      <w:lvlJc w:val="left"/>
      <w:pPr>
        <w:ind w:left="4320" w:hanging="360"/>
      </w:pPr>
    </w:lvl>
    <w:lvl w:ilvl="6" w:tplc="F93C18FE">
      <w:start w:val="1"/>
      <w:numFmt w:val="bullet"/>
      <w:lvlText w:val="●"/>
      <w:lvlJc w:val="left"/>
      <w:pPr>
        <w:ind w:left="5040" w:hanging="360"/>
      </w:pPr>
    </w:lvl>
    <w:lvl w:ilvl="7" w:tplc="44862B3E">
      <w:start w:val="1"/>
      <w:numFmt w:val="bullet"/>
      <w:lvlText w:val="●"/>
      <w:lvlJc w:val="left"/>
      <w:pPr>
        <w:ind w:left="5760" w:hanging="360"/>
      </w:pPr>
    </w:lvl>
    <w:lvl w:ilvl="8" w:tplc="64B86D0C">
      <w:start w:val="1"/>
      <w:numFmt w:val="bullet"/>
      <w:lvlText w:val="●"/>
      <w:lvlJc w:val="left"/>
      <w:pPr>
        <w:ind w:left="6480" w:hanging="360"/>
      </w:pPr>
    </w:lvl>
  </w:abstractNum>
  <w:abstractNum w:abstractNumId="1" w15:restartNumberingAfterBreak="0">
    <w:nsid w:val="22FB30D6"/>
    <w:multiLevelType w:val="hybridMultilevel"/>
    <w:tmpl w:val="65EC81AE"/>
    <w:lvl w:ilvl="0" w:tplc="70C6F2C8">
      <w:start w:val="1"/>
      <w:numFmt w:val="bullet"/>
      <w:lvlText w:val="•"/>
      <w:lvlJc w:val="left"/>
      <w:pPr>
        <w:ind w:left="360" w:hanging="260"/>
      </w:pPr>
    </w:lvl>
    <w:lvl w:ilvl="1" w:tplc="89E82FE2">
      <w:numFmt w:val="decimal"/>
      <w:lvlText w:val=""/>
      <w:lvlJc w:val="left"/>
    </w:lvl>
    <w:lvl w:ilvl="2" w:tplc="6024B4AA">
      <w:numFmt w:val="decimal"/>
      <w:lvlText w:val=""/>
      <w:lvlJc w:val="left"/>
    </w:lvl>
    <w:lvl w:ilvl="3" w:tplc="91BA2EAC">
      <w:numFmt w:val="decimal"/>
      <w:lvlText w:val=""/>
      <w:lvlJc w:val="left"/>
    </w:lvl>
    <w:lvl w:ilvl="4" w:tplc="EFC8678E">
      <w:numFmt w:val="decimal"/>
      <w:lvlText w:val=""/>
      <w:lvlJc w:val="left"/>
    </w:lvl>
    <w:lvl w:ilvl="5" w:tplc="0D408BD8">
      <w:numFmt w:val="decimal"/>
      <w:lvlText w:val=""/>
      <w:lvlJc w:val="left"/>
    </w:lvl>
    <w:lvl w:ilvl="6" w:tplc="79B0DCCE">
      <w:numFmt w:val="decimal"/>
      <w:lvlText w:val=""/>
      <w:lvlJc w:val="left"/>
    </w:lvl>
    <w:lvl w:ilvl="7" w:tplc="76FAB64C">
      <w:numFmt w:val="decimal"/>
      <w:lvlText w:val=""/>
      <w:lvlJc w:val="left"/>
    </w:lvl>
    <w:lvl w:ilvl="8" w:tplc="3078D51E">
      <w:numFmt w:val="decimal"/>
      <w:lvlText w:val=""/>
      <w:lvlJc w:val="left"/>
    </w:lvl>
  </w:abstractNum>
  <w:num w:numId="1" w16cid:durableId="248389490">
    <w:abstractNumId w:val="0"/>
    <w:lvlOverride w:ilvl="0">
      <w:startOverride w:val="1"/>
    </w:lvlOverride>
  </w:num>
  <w:num w:numId="2" w16cid:durableId="1171798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299"/>
    <w:rsid w:val="0018749E"/>
    <w:rsid w:val="001D235F"/>
    <w:rsid w:val="008943AB"/>
    <w:rsid w:val="00A001DB"/>
    <w:rsid w:val="00A37299"/>
    <w:rsid w:val="00B64522"/>
    <w:rsid w:val="00EC2C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D777"/>
  <w15:docId w15:val="{4F4A8067-BDC2-4C91-B72B-1220EA8A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Felicia Soyinka</cp:lastModifiedBy>
  <cp:revision>2</cp:revision>
  <dcterms:created xsi:type="dcterms:W3CDTF">2026-08-18T01:19:00Z</dcterms:created>
  <dcterms:modified xsi:type="dcterms:W3CDTF">2026-08-21T01:25:00Z</dcterms:modified>
</cp:coreProperties>
</file>