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382C" w14:textId="77777777" w:rsidR="00752A08" w:rsidRDefault="00752A08" w:rsidP="00752A08">
      <w:pPr>
        <w:pStyle w:val="Ttulo"/>
        <w:spacing w:line="360" w:lineRule="auto"/>
        <w:jc w:val="center"/>
        <w:rPr>
          <w:rFonts w:ascii="Arial" w:hAnsi="Arial" w:cs="Arial"/>
        </w:rPr>
      </w:pPr>
    </w:p>
    <w:p w14:paraId="0469AA26" w14:textId="77777777" w:rsidR="00752A08" w:rsidRDefault="00752A08" w:rsidP="00752A08">
      <w:pPr>
        <w:pStyle w:val="Ttulo"/>
        <w:spacing w:line="360" w:lineRule="auto"/>
        <w:jc w:val="center"/>
        <w:rPr>
          <w:rFonts w:ascii="Arial" w:hAnsi="Arial" w:cs="Arial"/>
        </w:rPr>
      </w:pPr>
    </w:p>
    <w:p w14:paraId="7CDD9413" w14:textId="77777777" w:rsidR="00752A08" w:rsidRDefault="00752A08" w:rsidP="00752A08">
      <w:pPr>
        <w:pStyle w:val="Ttulo"/>
        <w:spacing w:line="360" w:lineRule="auto"/>
        <w:jc w:val="center"/>
        <w:rPr>
          <w:rFonts w:ascii="Arial" w:hAnsi="Arial" w:cs="Arial"/>
        </w:rPr>
      </w:pPr>
    </w:p>
    <w:p w14:paraId="1BF5CEA8" w14:textId="29E314BA" w:rsidR="00752A08" w:rsidRDefault="00752A08" w:rsidP="00752A08">
      <w:pPr>
        <w:pStyle w:val="Ttulo"/>
        <w:spacing w:line="360" w:lineRule="auto"/>
        <w:jc w:val="center"/>
        <w:rPr>
          <w:rFonts w:ascii="Arial" w:hAnsi="Arial" w:cs="Arial"/>
        </w:rPr>
      </w:pPr>
      <w:r w:rsidRPr="00752A08">
        <w:rPr>
          <w:rFonts w:ascii="Arial" w:hAnsi="Arial" w:cs="Arial"/>
        </w:rPr>
        <w:t>Informe de Análisis de Cancelación de Clientes (Churn)</w:t>
      </w:r>
    </w:p>
    <w:p w14:paraId="06D9DD86" w14:textId="0820B803" w:rsidR="00752A08" w:rsidRPr="00752A08" w:rsidRDefault="00752A08" w:rsidP="00752A08">
      <w:pPr>
        <w:rPr>
          <w:rFonts w:ascii="Arial" w:eastAsiaTheme="majorEastAsia" w:hAnsi="Arial" w:cs="Arial"/>
          <w:spacing w:val="-10"/>
          <w:kern w:val="28"/>
          <w:sz w:val="56"/>
          <w:szCs w:val="56"/>
        </w:rPr>
      </w:pPr>
      <w:r>
        <w:rPr>
          <w:rFonts w:ascii="Arial" w:hAnsi="Arial" w:cs="Arial"/>
        </w:rPr>
        <w:br w:type="page"/>
      </w:r>
    </w:p>
    <w:p w14:paraId="6F141A98" w14:textId="77777777" w:rsidR="00752A08" w:rsidRPr="00752A08" w:rsidRDefault="00752A08" w:rsidP="00752A08">
      <w:pPr>
        <w:pStyle w:val="Ttulo1"/>
      </w:pPr>
      <w:r w:rsidRPr="00752A08">
        <w:lastRenderedPageBreak/>
        <w:t>1. Introducción</w:t>
      </w:r>
    </w:p>
    <w:p w14:paraId="714D2CE8" w14:textId="77777777" w:rsidR="00752A08" w:rsidRPr="00752A08" w:rsidRDefault="00752A08" w:rsidP="00752A08">
      <w:pPr>
        <w:pStyle w:val="Ttulo"/>
        <w:spacing w:line="360" w:lineRule="auto"/>
        <w:jc w:val="both"/>
        <w:rPr>
          <w:rFonts w:ascii="Arial" w:hAnsi="Arial" w:cs="Arial"/>
          <w:sz w:val="24"/>
          <w:szCs w:val="24"/>
        </w:rPr>
      </w:pPr>
    </w:p>
    <w:p w14:paraId="38C0AB81"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 xml:space="preserve">El objetivo de este análisis fue desarrollar modelos de machine </w:t>
      </w:r>
      <w:proofErr w:type="spellStart"/>
      <w:r w:rsidRPr="00752A08">
        <w:rPr>
          <w:rFonts w:ascii="Arial" w:hAnsi="Arial" w:cs="Arial"/>
          <w:sz w:val="24"/>
          <w:szCs w:val="24"/>
        </w:rPr>
        <w:t>learning</w:t>
      </w:r>
      <w:proofErr w:type="spellEnd"/>
      <w:r w:rsidRPr="00752A08">
        <w:rPr>
          <w:rFonts w:ascii="Arial" w:hAnsi="Arial" w:cs="Arial"/>
          <w:sz w:val="24"/>
          <w:szCs w:val="24"/>
        </w:rPr>
        <w:t xml:space="preserve"> capaces de predecir la cancelación de clientes (</w:t>
      </w:r>
      <w:proofErr w:type="spellStart"/>
      <w:r w:rsidRPr="00752A08">
        <w:rPr>
          <w:rFonts w:ascii="Arial" w:hAnsi="Arial" w:cs="Arial"/>
          <w:sz w:val="24"/>
          <w:szCs w:val="24"/>
        </w:rPr>
        <w:t>churn</w:t>
      </w:r>
      <w:proofErr w:type="spellEnd"/>
      <w:r w:rsidRPr="00752A08">
        <w:rPr>
          <w:rFonts w:ascii="Arial" w:hAnsi="Arial" w:cs="Arial"/>
          <w:sz w:val="24"/>
          <w:szCs w:val="24"/>
        </w:rPr>
        <w:t xml:space="preserve">) en la empresa </w:t>
      </w:r>
      <w:proofErr w:type="spellStart"/>
      <w:r w:rsidRPr="00752A08">
        <w:rPr>
          <w:rFonts w:ascii="Arial" w:hAnsi="Arial" w:cs="Arial"/>
          <w:sz w:val="24"/>
          <w:szCs w:val="24"/>
        </w:rPr>
        <w:t>TelecomX</w:t>
      </w:r>
      <w:proofErr w:type="spellEnd"/>
      <w:r w:rsidRPr="00752A08">
        <w:rPr>
          <w:rFonts w:ascii="Arial" w:hAnsi="Arial" w:cs="Arial"/>
          <w:sz w:val="24"/>
          <w:szCs w:val="24"/>
        </w:rPr>
        <w:t>. La cancelación de clientes representa un problema crítico para muchas empresas, ya que adquirir nuevos clientes suele ser más costoso que retener a los existentes.</w:t>
      </w:r>
    </w:p>
    <w:p w14:paraId="52804B01" w14:textId="77777777" w:rsidR="00752A08" w:rsidRPr="00752A08" w:rsidRDefault="00752A08" w:rsidP="00752A08">
      <w:pPr>
        <w:pStyle w:val="Ttulo"/>
        <w:spacing w:line="360" w:lineRule="auto"/>
        <w:jc w:val="both"/>
        <w:rPr>
          <w:rFonts w:ascii="Arial" w:hAnsi="Arial" w:cs="Arial"/>
          <w:sz w:val="24"/>
          <w:szCs w:val="24"/>
        </w:rPr>
      </w:pPr>
    </w:p>
    <w:p w14:paraId="51548F23" w14:textId="3DE9506B"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Para abordar este problema se aplicaron diferentes técnicas de preprocesamiento de datos, balanceo de clases y modelado predictivo, con el fin de identificar patrones que permitan anticipar qué clientes tienen mayor probabilidad de cancelar el servicio.</w:t>
      </w:r>
    </w:p>
    <w:p w14:paraId="14B34EF9" w14:textId="48D41469" w:rsidR="00752A08" w:rsidRPr="00752A08" w:rsidRDefault="00752A08" w:rsidP="00752A08">
      <w:pPr>
        <w:rPr>
          <w:rFonts w:ascii="Arial" w:eastAsiaTheme="majorEastAsia" w:hAnsi="Arial" w:cs="Arial"/>
          <w:spacing w:val="-10"/>
          <w:kern w:val="28"/>
        </w:rPr>
      </w:pPr>
      <w:r>
        <w:rPr>
          <w:rFonts w:ascii="Arial" w:hAnsi="Arial" w:cs="Arial"/>
        </w:rPr>
        <w:br w:type="page"/>
      </w:r>
    </w:p>
    <w:p w14:paraId="7915D943" w14:textId="3064339B" w:rsidR="00752A08" w:rsidRPr="00752A08" w:rsidRDefault="00752A08" w:rsidP="00752A08">
      <w:pPr>
        <w:pStyle w:val="Ttulo1"/>
      </w:pPr>
      <w:r w:rsidRPr="00752A08">
        <w:lastRenderedPageBreak/>
        <w:t>2. Modelos utilizados</w:t>
      </w:r>
    </w:p>
    <w:p w14:paraId="74CF31E7" w14:textId="7DB54ADE" w:rsidR="00752A08" w:rsidRPr="00752A08" w:rsidRDefault="00752A08" w:rsidP="00752A08">
      <w:pPr>
        <w:pStyle w:val="Ttulo2"/>
      </w:pPr>
      <w:r w:rsidRPr="00752A08">
        <w:t>Regresión Logística</w:t>
      </w:r>
    </w:p>
    <w:p w14:paraId="48AC8198" w14:textId="2F06328A"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La Regresión Logística es un modelo estadístico que estima la probabilidad de pertenecer a una clase. Este modelo requiere normalización de los datos, ya que utiliza optimización basada en gradientes y puede verse afectado por diferencias en la escala de las variables.</w:t>
      </w:r>
    </w:p>
    <w:p w14:paraId="6A137CF0" w14:textId="1BCDB6C5" w:rsidR="00752A08" w:rsidRPr="00752A08" w:rsidRDefault="00752A08" w:rsidP="00752A08">
      <w:pPr>
        <w:pStyle w:val="Ttulo2"/>
      </w:pPr>
      <w:r w:rsidRPr="00752A08">
        <w:t>Random Forest</w:t>
      </w:r>
    </w:p>
    <w:p w14:paraId="6F6250C4" w14:textId="446A4E09"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Random Forest es un modelo basado en ensambles de árboles de decisión, que combina múltiples árboles para mejorar la precisión de las predicciones. A diferencia de la regresión logística, este modelo no requiere normalización, ya que las decisiones se basan en divisiones de los datos y no en distancias entre variables.</w:t>
      </w:r>
    </w:p>
    <w:p w14:paraId="0E934FD5" w14:textId="20E557C0" w:rsidR="00752A08" w:rsidRPr="00752A08" w:rsidRDefault="00752A08" w:rsidP="00752A08">
      <w:pPr>
        <w:rPr>
          <w:rFonts w:ascii="Arial" w:eastAsiaTheme="majorEastAsia" w:hAnsi="Arial" w:cs="Arial"/>
          <w:spacing w:val="-10"/>
          <w:kern w:val="28"/>
        </w:rPr>
      </w:pPr>
      <w:r>
        <w:rPr>
          <w:rFonts w:ascii="Arial" w:hAnsi="Arial" w:cs="Arial"/>
        </w:rPr>
        <w:br w:type="page"/>
      </w:r>
    </w:p>
    <w:p w14:paraId="7B7FEA40" w14:textId="19641C65" w:rsidR="00752A08" w:rsidRPr="00752A08" w:rsidRDefault="00752A08" w:rsidP="00752A08">
      <w:pPr>
        <w:pStyle w:val="Ttulo1"/>
      </w:pPr>
      <w:r w:rsidRPr="00752A08">
        <w:lastRenderedPageBreak/>
        <w:t>3. Evaluación de los modelos</w:t>
      </w:r>
    </w:p>
    <w:p w14:paraId="754A8080"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Los modelos fueron evaluados utilizando las siguientes métricas:</w:t>
      </w:r>
    </w:p>
    <w:p w14:paraId="46309407" w14:textId="77777777" w:rsidR="00752A08" w:rsidRPr="00752A08" w:rsidRDefault="00752A08" w:rsidP="00752A08">
      <w:pPr>
        <w:pStyle w:val="Ttulo"/>
        <w:spacing w:line="360" w:lineRule="auto"/>
        <w:jc w:val="both"/>
        <w:rPr>
          <w:rFonts w:ascii="Arial" w:hAnsi="Arial" w:cs="Arial"/>
          <w:sz w:val="24"/>
          <w:szCs w:val="24"/>
        </w:rPr>
      </w:pPr>
    </w:p>
    <w:p w14:paraId="50ABAF2D" w14:textId="77777777" w:rsidR="00752A08" w:rsidRPr="00752A08" w:rsidRDefault="00752A08" w:rsidP="00752A08">
      <w:pPr>
        <w:pStyle w:val="Ttulo"/>
        <w:numPr>
          <w:ilvl w:val="0"/>
          <w:numId w:val="5"/>
        </w:numPr>
        <w:spacing w:line="360" w:lineRule="auto"/>
        <w:jc w:val="both"/>
        <w:rPr>
          <w:rFonts w:ascii="Arial" w:hAnsi="Arial" w:cs="Arial"/>
          <w:sz w:val="24"/>
          <w:szCs w:val="24"/>
          <w:lang w:val="en-US"/>
        </w:rPr>
      </w:pPr>
      <w:r w:rsidRPr="00752A08">
        <w:rPr>
          <w:rFonts w:ascii="Arial" w:hAnsi="Arial" w:cs="Arial"/>
          <w:sz w:val="24"/>
          <w:szCs w:val="24"/>
          <w:lang w:val="en-US"/>
        </w:rPr>
        <w:t>Accuracy (</w:t>
      </w:r>
      <w:proofErr w:type="spellStart"/>
      <w:r w:rsidRPr="00752A08">
        <w:rPr>
          <w:rFonts w:ascii="Arial" w:hAnsi="Arial" w:cs="Arial"/>
          <w:sz w:val="24"/>
          <w:szCs w:val="24"/>
          <w:lang w:val="en-US"/>
        </w:rPr>
        <w:t>exactitud</w:t>
      </w:r>
      <w:proofErr w:type="spellEnd"/>
      <w:r w:rsidRPr="00752A08">
        <w:rPr>
          <w:rFonts w:ascii="Arial" w:hAnsi="Arial" w:cs="Arial"/>
          <w:sz w:val="24"/>
          <w:szCs w:val="24"/>
          <w:lang w:val="en-US"/>
        </w:rPr>
        <w:t>)</w:t>
      </w:r>
    </w:p>
    <w:p w14:paraId="656C3AFF" w14:textId="77777777" w:rsidR="00752A08" w:rsidRPr="00752A08" w:rsidRDefault="00752A08" w:rsidP="00752A08">
      <w:pPr>
        <w:pStyle w:val="Ttulo"/>
        <w:spacing w:line="360" w:lineRule="auto"/>
        <w:jc w:val="both"/>
        <w:rPr>
          <w:rFonts w:ascii="Arial" w:hAnsi="Arial" w:cs="Arial"/>
          <w:sz w:val="24"/>
          <w:szCs w:val="24"/>
          <w:lang w:val="en-US"/>
        </w:rPr>
      </w:pPr>
    </w:p>
    <w:p w14:paraId="042026D3" w14:textId="77777777" w:rsidR="00752A08" w:rsidRPr="00752A08" w:rsidRDefault="00752A08" w:rsidP="00752A08">
      <w:pPr>
        <w:pStyle w:val="Ttulo"/>
        <w:numPr>
          <w:ilvl w:val="0"/>
          <w:numId w:val="5"/>
        </w:numPr>
        <w:spacing w:line="360" w:lineRule="auto"/>
        <w:jc w:val="both"/>
        <w:rPr>
          <w:rFonts w:ascii="Arial" w:hAnsi="Arial" w:cs="Arial"/>
          <w:sz w:val="24"/>
          <w:szCs w:val="24"/>
          <w:lang w:val="en-US"/>
        </w:rPr>
      </w:pPr>
      <w:r w:rsidRPr="00752A08">
        <w:rPr>
          <w:rFonts w:ascii="Arial" w:hAnsi="Arial" w:cs="Arial"/>
          <w:sz w:val="24"/>
          <w:szCs w:val="24"/>
          <w:lang w:val="en-US"/>
        </w:rPr>
        <w:t>Precision</w:t>
      </w:r>
    </w:p>
    <w:p w14:paraId="607E2C7D" w14:textId="77777777" w:rsidR="00752A08" w:rsidRPr="00752A08" w:rsidRDefault="00752A08" w:rsidP="00752A08">
      <w:pPr>
        <w:pStyle w:val="Ttulo"/>
        <w:spacing w:line="360" w:lineRule="auto"/>
        <w:jc w:val="both"/>
        <w:rPr>
          <w:rFonts w:ascii="Arial" w:hAnsi="Arial" w:cs="Arial"/>
          <w:sz w:val="24"/>
          <w:szCs w:val="24"/>
          <w:lang w:val="en-US"/>
        </w:rPr>
      </w:pPr>
    </w:p>
    <w:p w14:paraId="637DAE52" w14:textId="77777777" w:rsidR="00752A08" w:rsidRPr="00752A08" w:rsidRDefault="00752A08" w:rsidP="00752A08">
      <w:pPr>
        <w:pStyle w:val="Ttulo"/>
        <w:numPr>
          <w:ilvl w:val="0"/>
          <w:numId w:val="5"/>
        </w:numPr>
        <w:spacing w:line="360" w:lineRule="auto"/>
        <w:jc w:val="both"/>
        <w:rPr>
          <w:rFonts w:ascii="Arial" w:hAnsi="Arial" w:cs="Arial"/>
          <w:sz w:val="24"/>
          <w:szCs w:val="24"/>
          <w:lang w:val="en-US"/>
        </w:rPr>
      </w:pPr>
      <w:r w:rsidRPr="00752A08">
        <w:rPr>
          <w:rFonts w:ascii="Arial" w:hAnsi="Arial" w:cs="Arial"/>
          <w:sz w:val="24"/>
          <w:szCs w:val="24"/>
          <w:lang w:val="en-US"/>
        </w:rPr>
        <w:t>Recall</w:t>
      </w:r>
    </w:p>
    <w:p w14:paraId="679563BE" w14:textId="77777777" w:rsidR="00752A08" w:rsidRPr="00752A08" w:rsidRDefault="00752A08" w:rsidP="00752A08">
      <w:pPr>
        <w:pStyle w:val="Ttulo"/>
        <w:spacing w:line="360" w:lineRule="auto"/>
        <w:jc w:val="both"/>
        <w:rPr>
          <w:rFonts w:ascii="Arial" w:hAnsi="Arial" w:cs="Arial"/>
          <w:sz w:val="24"/>
          <w:szCs w:val="24"/>
          <w:lang w:val="en-US"/>
        </w:rPr>
      </w:pPr>
    </w:p>
    <w:p w14:paraId="692055B3" w14:textId="77777777" w:rsidR="00752A08" w:rsidRPr="00752A08" w:rsidRDefault="00752A08" w:rsidP="00752A08">
      <w:pPr>
        <w:pStyle w:val="Ttulo"/>
        <w:numPr>
          <w:ilvl w:val="0"/>
          <w:numId w:val="5"/>
        </w:numPr>
        <w:spacing w:line="360" w:lineRule="auto"/>
        <w:jc w:val="both"/>
        <w:rPr>
          <w:rFonts w:ascii="Arial" w:hAnsi="Arial" w:cs="Arial"/>
          <w:sz w:val="24"/>
          <w:szCs w:val="24"/>
          <w:lang w:val="en-US"/>
        </w:rPr>
      </w:pPr>
      <w:r w:rsidRPr="00752A08">
        <w:rPr>
          <w:rFonts w:ascii="Arial" w:hAnsi="Arial" w:cs="Arial"/>
          <w:sz w:val="24"/>
          <w:szCs w:val="24"/>
          <w:lang w:val="en-US"/>
        </w:rPr>
        <w:t>F1-score</w:t>
      </w:r>
    </w:p>
    <w:p w14:paraId="1884A087" w14:textId="77777777" w:rsidR="00752A08" w:rsidRPr="00752A08" w:rsidRDefault="00752A08" w:rsidP="00752A08">
      <w:pPr>
        <w:pStyle w:val="Ttulo"/>
        <w:spacing w:line="360" w:lineRule="auto"/>
        <w:jc w:val="both"/>
        <w:rPr>
          <w:rFonts w:ascii="Arial" w:hAnsi="Arial" w:cs="Arial"/>
          <w:sz w:val="24"/>
          <w:szCs w:val="24"/>
          <w:lang w:val="en-US"/>
        </w:rPr>
      </w:pPr>
    </w:p>
    <w:p w14:paraId="330F0F1F" w14:textId="77777777" w:rsidR="00752A08" w:rsidRPr="00752A08" w:rsidRDefault="00752A08" w:rsidP="00752A08">
      <w:pPr>
        <w:pStyle w:val="Ttulo"/>
        <w:numPr>
          <w:ilvl w:val="0"/>
          <w:numId w:val="5"/>
        </w:numPr>
        <w:spacing w:line="360" w:lineRule="auto"/>
        <w:jc w:val="both"/>
        <w:rPr>
          <w:rFonts w:ascii="Arial" w:hAnsi="Arial" w:cs="Arial"/>
          <w:sz w:val="24"/>
          <w:szCs w:val="24"/>
        </w:rPr>
      </w:pPr>
      <w:r w:rsidRPr="00752A08">
        <w:rPr>
          <w:rFonts w:ascii="Arial" w:hAnsi="Arial" w:cs="Arial"/>
          <w:sz w:val="24"/>
          <w:szCs w:val="24"/>
        </w:rPr>
        <w:t>Matriz de confusión</w:t>
      </w:r>
    </w:p>
    <w:p w14:paraId="63C3D4F4" w14:textId="77777777" w:rsidR="00752A08" w:rsidRPr="00752A08" w:rsidRDefault="00752A08" w:rsidP="00752A08">
      <w:pPr>
        <w:pStyle w:val="Ttulo"/>
        <w:spacing w:line="360" w:lineRule="auto"/>
        <w:jc w:val="both"/>
        <w:rPr>
          <w:rFonts w:ascii="Arial" w:hAnsi="Arial" w:cs="Arial"/>
          <w:sz w:val="24"/>
          <w:szCs w:val="24"/>
        </w:rPr>
      </w:pPr>
    </w:p>
    <w:p w14:paraId="66D1EDD1" w14:textId="47908A84"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En general, ambos modelos lograron identificar patrones relevantes en los datos. Sin embargo, Random Forest mostró un mejor desempeño general, logrando mayor capacidad para detectar clientes con riesgo de cancelación.</w:t>
      </w:r>
    </w:p>
    <w:p w14:paraId="178E2963" w14:textId="392348A1"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Esto se debe a que Random Forest puede capturar relaciones no lineales y patrones complejos que un modelo lineal como la regresión logística puede no detectar completamente.</w:t>
      </w:r>
    </w:p>
    <w:p w14:paraId="5533A3E4" w14:textId="16B63439" w:rsidR="00752A08" w:rsidRPr="00752A08" w:rsidRDefault="00752A08" w:rsidP="00752A08">
      <w:pPr>
        <w:rPr>
          <w:rFonts w:ascii="Arial" w:eastAsiaTheme="majorEastAsia" w:hAnsi="Arial" w:cs="Arial"/>
          <w:spacing w:val="-10"/>
          <w:kern w:val="28"/>
        </w:rPr>
      </w:pPr>
      <w:r>
        <w:rPr>
          <w:rFonts w:ascii="Arial" w:hAnsi="Arial" w:cs="Arial"/>
        </w:rPr>
        <w:br w:type="page"/>
      </w:r>
    </w:p>
    <w:p w14:paraId="43D68478" w14:textId="77777777" w:rsidR="00752A08" w:rsidRPr="00752A08" w:rsidRDefault="00752A08" w:rsidP="00752A08">
      <w:pPr>
        <w:pStyle w:val="Ttulo1"/>
      </w:pPr>
      <w:r w:rsidRPr="00752A08">
        <w:lastRenderedPageBreak/>
        <w:t>4. Variables más relevantes para predecir cancelación</w:t>
      </w:r>
    </w:p>
    <w:p w14:paraId="17A4D0B4" w14:textId="77777777" w:rsidR="00752A08" w:rsidRPr="00752A08" w:rsidRDefault="00752A08" w:rsidP="00752A08">
      <w:pPr>
        <w:pStyle w:val="Ttulo"/>
        <w:spacing w:line="360" w:lineRule="auto"/>
        <w:jc w:val="both"/>
        <w:rPr>
          <w:rFonts w:ascii="Arial" w:hAnsi="Arial" w:cs="Arial"/>
          <w:sz w:val="24"/>
          <w:szCs w:val="24"/>
        </w:rPr>
      </w:pPr>
    </w:p>
    <w:p w14:paraId="4C6CC76C" w14:textId="66FE3104"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El análisis de importancia de variables permitió identificar los factores que más influyen en la cancelación de clientes.</w:t>
      </w:r>
    </w:p>
    <w:p w14:paraId="0B3A061D" w14:textId="40AB5D24"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Las variables más relevantes incluyen:</w:t>
      </w:r>
    </w:p>
    <w:p w14:paraId="5B55B321" w14:textId="77777777" w:rsidR="00752A08" w:rsidRPr="00752A08" w:rsidRDefault="00752A08" w:rsidP="00752A08"/>
    <w:p w14:paraId="1C1CB312" w14:textId="0920FD22"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Antigüedad del cliente (</w:t>
      </w:r>
      <w:proofErr w:type="spellStart"/>
      <w:r w:rsidRPr="00752A08">
        <w:rPr>
          <w:rFonts w:ascii="Arial" w:hAnsi="Arial" w:cs="Arial"/>
          <w:sz w:val="24"/>
          <w:szCs w:val="24"/>
        </w:rPr>
        <w:t>tenure</w:t>
      </w:r>
      <w:proofErr w:type="spellEnd"/>
      <w:r w:rsidRPr="00752A08">
        <w:rPr>
          <w:rFonts w:ascii="Arial" w:hAnsi="Arial" w:cs="Arial"/>
          <w:sz w:val="24"/>
          <w:szCs w:val="24"/>
        </w:rPr>
        <w:t>)</w:t>
      </w:r>
    </w:p>
    <w:p w14:paraId="140E7A0E" w14:textId="77777777" w:rsidR="00752A08" w:rsidRPr="00752A08" w:rsidRDefault="00752A08" w:rsidP="00752A08">
      <w:pPr>
        <w:pStyle w:val="Ttulo"/>
        <w:numPr>
          <w:ilvl w:val="0"/>
          <w:numId w:val="8"/>
        </w:numPr>
        <w:spacing w:line="360" w:lineRule="auto"/>
        <w:jc w:val="both"/>
        <w:rPr>
          <w:rFonts w:ascii="Arial" w:hAnsi="Arial" w:cs="Arial"/>
          <w:sz w:val="24"/>
          <w:szCs w:val="24"/>
        </w:rPr>
      </w:pPr>
      <w:r w:rsidRPr="00752A08">
        <w:rPr>
          <w:rFonts w:ascii="Arial" w:hAnsi="Arial" w:cs="Arial"/>
          <w:sz w:val="24"/>
          <w:szCs w:val="24"/>
        </w:rPr>
        <w:t>Los clientes con menor tiempo en la empresa presentan mayor probabilidad de cancelar el servicio. Esto sugiere que los primeros meses de relación con el cliente son críticos para su retención.</w:t>
      </w:r>
    </w:p>
    <w:p w14:paraId="0A6D2DA0" w14:textId="77777777" w:rsidR="00752A08" w:rsidRPr="00752A08" w:rsidRDefault="00752A08" w:rsidP="00752A08">
      <w:pPr>
        <w:pStyle w:val="Ttulo"/>
        <w:spacing w:line="360" w:lineRule="auto"/>
        <w:jc w:val="both"/>
        <w:rPr>
          <w:rFonts w:ascii="Arial" w:hAnsi="Arial" w:cs="Arial"/>
          <w:sz w:val="24"/>
          <w:szCs w:val="24"/>
        </w:rPr>
      </w:pPr>
    </w:p>
    <w:p w14:paraId="47CAFFF6" w14:textId="02EF7BAF"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Tipo de contrato</w:t>
      </w:r>
    </w:p>
    <w:p w14:paraId="58FF4B6D" w14:textId="38689216" w:rsidR="00752A08" w:rsidRPr="00752A08" w:rsidRDefault="00752A08" w:rsidP="00752A08">
      <w:pPr>
        <w:pStyle w:val="Ttulo"/>
        <w:numPr>
          <w:ilvl w:val="0"/>
          <w:numId w:val="8"/>
        </w:numPr>
        <w:spacing w:line="360" w:lineRule="auto"/>
        <w:jc w:val="both"/>
        <w:rPr>
          <w:rFonts w:ascii="Arial" w:hAnsi="Arial" w:cs="Arial"/>
          <w:sz w:val="24"/>
          <w:szCs w:val="24"/>
        </w:rPr>
      </w:pPr>
      <w:r w:rsidRPr="00752A08">
        <w:rPr>
          <w:rFonts w:ascii="Arial" w:hAnsi="Arial" w:cs="Arial"/>
          <w:sz w:val="24"/>
          <w:szCs w:val="24"/>
        </w:rPr>
        <w:t>Los clientes con contratos mensuales presentan una mayor tasa de cancelación en comparación con aquellos que tienen contratos anuales o de largo plazo.</w:t>
      </w:r>
    </w:p>
    <w:p w14:paraId="54FD8883" w14:textId="77777777" w:rsidR="00752A08" w:rsidRPr="00752A08" w:rsidRDefault="00752A08" w:rsidP="00752A08">
      <w:pPr>
        <w:pStyle w:val="Ttulo"/>
        <w:numPr>
          <w:ilvl w:val="0"/>
          <w:numId w:val="8"/>
        </w:numPr>
        <w:spacing w:line="360" w:lineRule="auto"/>
        <w:jc w:val="both"/>
        <w:rPr>
          <w:rFonts w:ascii="Arial" w:hAnsi="Arial" w:cs="Arial"/>
          <w:sz w:val="24"/>
          <w:szCs w:val="24"/>
        </w:rPr>
      </w:pPr>
      <w:r w:rsidRPr="00752A08">
        <w:rPr>
          <w:rFonts w:ascii="Arial" w:hAnsi="Arial" w:cs="Arial"/>
          <w:sz w:val="24"/>
          <w:szCs w:val="24"/>
        </w:rPr>
        <w:t xml:space="preserve">Esto indica que los contratos de mayor duración ayudan a reducir el </w:t>
      </w:r>
      <w:proofErr w:type="spellStart"/>
      <w:r w:rsidRPr="00752A08">
        <w:rPr>
          <w:rFonts w:ascii="Arial" w:hAnsi="Arial" w:cs="Arial"/>
          <w:sz w:val="24"/>
          <w:szCs w:val="24"/>
        </w:rPr>
        <w:t>churn</w:t>
      </w:r>
      <w:proofErr w:type="spellEnd"/>
      <w:r w:rsidRPr="00752A08">
        <w:rPr>
          <w:rFonts w:ascii="Arial" w:hAnsi="Arial" w:cs="Arial"/>
          <w:sz w:val="24"/>
          <w:szCs w:val="24"/>
        </w:rPr>
        <w:t>.</w:t>
      </w:r>
    </w:p>
    <w:p w14:paraId="1D6AE35B" w14:textId="77777777" w:rsidR="00752A08" w:rsidRPr="00752A08" w:rsidRDefault="00752A08" w:rsidP="00752A08">
      <w:pPr>
        <w:pStyle w:val="Ttulo"/>
        <w:spacing w:line="360" w:lineRule="auto"/>
        <w:jc w:val="both"/>
        <w:rPr>
          <w:rFonts w:ascii="Arial" w:hAnsi="Arial" w:cs="Arial"/>
          <w:sz w:val="24"/>
          <w:szCs w:val="24"/>
        </w:rPr>
      </w:pPr>
    </w:p>
    <w:p w14:paraId="3F74EA5A" w14:textId="1EB92199"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Cargos mensuales</w:t>
      </w:r>
    </w:p>
    <w:p w14:paraId="034F4C8D" w14:textId="77777777" w:rsidR="00752A08" w:rsidRPr="00752A08" w:rsidRDefault="00752A08" w:rsidP="00752A08">
      <w:pPr>
        <w:pStyle w:val="Ttulo"/>
        <w:numPr>
          <w:ilvl w:val="0"/>
          <w:numId w:val="9"/>
        </w:numPr>
        <w:spacing w:line="360" w:lineRule="auto"/>
        <w:jc w:val="both"/>
        <w:rPr>
          <w:rFonts w:ascii="Arial" w:hAnsi="Arial" w:cs="Arial"/>
          <w:sz w:val="24"/>
          <w:szCs w:val="24"/>
        </w:rPr>
      </w:pPr>
      <w:r w:rsidRPr="00752A08">
        <w:rPr>
          <w:rFonts w:ascii="Arial" w:hAnsi="Arial" w:cs="Arial"/>
          <w:sz w:val="24"/>
          <w:szCs w:val="24"/>
        </w:rPr>
        <w:t>Los clientes con cargos mensuales más altos muestran mayor probabilidad de cancelar el servicio, posiblemente debido a la percepción de alto costo en relación con el valor recibido.</w:t>
      </w:r>
    </w:p>
    <w:p w14:paraId="14386623" w14:textId="77777777" w:rsidR="00752A08" w:rsidRPr="00752A08" w:rsidRDefault="00752A08" w:rsidP="00752A08">
      <w:pPr>
        <w:pStyle w:val="Ttulo"/>
        <w:spacing w:line="360" w:lineRule="auto"/>
        <w:jc w:val="both"/>
        <w:rPr>
          <w:rFonts w:ascii="Arial" w:hAnsi="Arial" w:cs="Arial"/>
          <w:sz w:val="24"/>
          <w:szCs w:val="24"/>
        </w:rPr>
      </w:pPr>
    </w:p>
    <w:p w14:paraId="391DF4D6" w14:textId="3F4ABFA0"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Cargos totales</w:t>
      </w:r>
    </w:p>
    <w:p w14:paraId="277AB33E" w14:textId="4A59718E" w:rsidR="00752A08" w:rsidRDefault="00752A08" w:rsidP="00752A08">
      <w:pPr>
        <w:pStyle w:val="Ttulo"/>
        <w:numPr>
          <w:ilvl w:val="0"/>
          <w:numId w:val="9"/>
        </w:numPr>
        <w:spacing w:line="360" w:lineRule="auto"/>
        <w:jc w:val="both"/>
        <w:rPr>
          <w:rFonts w:ascii="Arial" w:hAnsi="Arial" w:cs="Arial"/>
          <w:sz w:val="24"/>
          <w:szCs w:val="24"/>
        </w:rPr>
      </w:pPr>
      <w:r w:rsidRPr="00752A08">
        <w:rPr>
          <w:rFonts w:ascii="Arial" w:hAnsi="Arial" w:cs="Arial"/>
          <w:sz w:val="24"/>
          <w:szCs w:val="24"/>
        </w:rPr>
        <w:t xml:space="preserve">Los clientes con menores cargos totales suelen ser clientes relativamente nuevos, lo que nuevamente refuerza la relación entre baja antigüedad y mayor </w:t>
      </w:r>
      <w:proofErr w:type="spellStart"/>
      <w:r w:rsidRPr="00752A08">
        <w:rPr>
          <w:rFonts w:ascii="Arial" w:hAnsi="Arial" w:cs="Arial"/>
          <w:sz w:val="24"/>
          <w:szCs w:val="24"/>
        </w:rPr>
        <w:t>churn</w:t>
      </w:r>
      <w:proofErr w:type="spellEnd"/>
      <w:r w:rsidRPr="00752A08">
        <w:rPr>
          <w:rFonts w:ascii="Arial" w:hAnsi="Arial" w:cs="Arial"/>
          <w:sz w:val="24"/>
          <w:szCs w:val="24"/>
        </w:rPr>
        <w:t>.</w:t>
      </w:r>
    </w:p>
    <w:p w14:paraId="02030EBF" w14:textId="3E3E1DB7" w:rsidR="00752A08" w:rsidRPr="00752A08" w:rsidRDefault="00752A08" w:rsidP="00752A08">
      <w:pPr>
        <w:rPr>
          <w:rFonts w:ascii="Arial" w:eastAsiaTheme="majorEastAsia" w:hAnsi="Arial" w:cs="Arial"/>
          <w:spacing w:val="-10"/>
          <w:kern w:val="28"/>
        </w:rPr>
      </w:pPr>
      <w:r>
        <w:rPr>
          <w:rFonts w:ascii="Arial" w:hAnsi="Arial" w:cs="Arial"/>
        </w:rPr>
        <w:br w:type="page"/>
      </w:r>
    </w:p>
    <w:p w14:paraId="293B132A" w14:textId="77777777" w:rsidR="00752A08" w:rsidRPr="00752A08" w:rsidRDefault="00752A08" w:rsidP="00752A08">
      <w:pPr>
        <w:pStyle w:val="Ttulo1"/>
      </w:pPr>
      <w:r w:rsidRPr="00752A08">
        <w:lastRenderedPageBreak/>
        <w:t>5. Interpretación de los resultados</w:t>
      </w:r>
    </w:p>
    <w:p w14:paraId="5A5AEA3A" w14:textId="77777777" w:rsidR="00752A08" w:rsidRPr="00752A08" w:rsidRDefault="00752A08" w:rsidP="00752A08">
      <w:pPr>
        <w:pStyle w:val="Ttulo"/>
        <w:spacing w:line="360" w:lineRule="auto"/>
        <w:jc w:val="both"/>
        <w:rPr>
          <w:rFonts w:ascii="Arial" w:hAnsi="Arial" w:cs="Arial"/>
          <w:sz w:val="24"/>
          <w:szCs w:val="24"/>
        </w:rPr>
      </w:pPr>
    </w:p>
    <w:p w14:paraId="4E938AEC" w14:textId="4B1EC99E"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El análisis revela que la cancelación de clientes está principalmente relacionada con:</w:t>
      </w:r>
    </w:p>
    <w:p w14:paraId="3A2DDB31" w14:textId="0FE70C23" w:rsidR="00752A08" w:rsidRPr="00752A08" w:rsidRDefault="00752A08" w:rsidP="00752A08">
      <w:pPr>
        <w:pStyle w:val="Ttulo"/>
        <w:numPr>
          <w:ilvl w:val="0"/>
          <w:numId w:val="9"/>
        </w:numPr>
        <w:spacing w:line="360" w:lineRule="auto"/>
        <w:jc w:val="both"/>
        <w:rPr>
          <w:rFonts w:ascii="Arial" w:hAnsi="Arial" w:cs="Arial"/>
          <w:sz w:val="24"/>
          <w:szCs w:val="24"/>
        </w:rPr>
      </w:pPr>
      <w:r w:rsidRPr="00752A08">
        <w:rPr>
          <w:rFonts w:ascii="Arial" w:hAnsi="Arial" w:cs="Arial"/>
          <w:sz w:val="24"/>
          <w:szCs w:val="24"/>
        </w:rPr>
        <w:t>contratos flexibles</w:t>
      </w:r>
    </w:p>
    <w:p w14:paraId="60319113" w14:textId="61358720" w:rsidR="00752A08" w:rsidRPr="00752A08" w:rsidRDefault="00752A08" w:rsidP="00752A08">
      <w:pPr>
        <w:pStyle w:val="Ttulo"/>
        <w:numPr>
          <w:ilvl w:val="0"/>
          <w:numId w:val="9"/>
        </w:numPr>
        <w:spacing w:line="360" w:lineRule="auto"/>
        <w:jc w:val="both"/>
        <w:rPr>
          <w:rFonts w:ascii="Arial" w:hAnsi="Arial" w:cs="Arial"/>
          <w:sz w:val="24"/>
          <w:szCs w:val="24"/>
        </w:rPr>
      </w:pPr>
      <w:r w:rsidRPr="00752A08">
        <w:rPr>
          <w:rFonts w:ascii="Arial" w:hAnsi="Arial" w:cs="Arial"/>
          <w:sz w:val="24"/>
          <w:szCs w:val="24"/>
        </w:rPr>
        <w:t>clientes nuevos</w:t>
      </w:r>
    </w:p>
    <w:p w14:paraId="1393FE70" w14:textId="2386B714" w:rsidR="00752A08" w:rsidRPr="00752A08" w:rsidRDefault="00752A08" w:rsidP="00752A08">
      <w:pPr>
        <w:pStyle w:val="Ttulo"/>
        <w:numPr>
          <w:ilvl w:val="0"/>
          <w:numId w:val="9"/>
        </w:numPr>
        <w:spacing w:line="360" w:lineRule="auto"/>
        <w:jc w:val="both"/>
        <w:rPr>
          <w:rFonts w:ascii="Arial" w:hAnsi="Arial" w:cs="Arial"/>
          <w:sz w:val="24"/>
          <w:szCs w:val="24"/>
        </w:rPr>
      </w:pPr>
      <w:r w:rsidRPr="00752A08">
        <w:rPr>
          <w:rFonts w:ascii="Arial" w:hAnsi="Arial" w:cs="Arial"/>
          <w:sz w:val="24"/>
          <w:szCs w:val="24"/>
        </w:rPr>
        <w:t>altos costos mensuales</w:t>
      </w:r>
    </w:p>
    <w:p w14:paraId="7AB5823C" w14:textId="00D21CEF"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Esto sugiere que la cancelación ocurre principalmente durante las etapas iniciales del ciclo de vida del cliente o cuando los clientes perciben que el servicio es costoso.</w:t>
      </w:r>
    </w:p>
    <w:p w14:paraId="2F162D3C" w14:textId="570B4A9C" w:rsidR="00752A08" w:rsidRPr="00752A08" w:rsidRDefault="00752A08" w:rsidP="00752A08">
      <w:pPr>
        <w:rPr>
          <w:rFonts w:ascii="Arial" w:eastAsiaTheme="majorEastAsia" w:hAnsi="Arial" w:cs="Arial"/>
          <w:spacing w:val="-10"/>
          <w:kern w:val="28"/>
        </w:rPr>
      </w:pPr>
      <w:r>
        <w:rPr>
          <w:rFonts w:ascii="Arial" w:hAnsi="Arial" w:cs="Arial"/>
        </w:rPr>
        <w:br w:type="page"/>
      </w:r>
    </w:p>
    <w:p w14:paraId="2052305C" w14:textId="77777777" w:rsidR="00752A08" w:rsidRPr="00752A08" w:rsidRDefault="00752A08" w:rsidP="00752A08">
      <w:pPr>
        <w:pStyle w:val="Ttulo1"/>
      </w:pPr>
      <w:r w:rsidRPr="00752A08">
        <w:lastRenderedPageBreak/>
        <w:t>6. Estrategias de retención recomendadas</w:t>
      </w:r>
    </w:p>
    <w:p w14:paraId="0C15F6F1" w14:textId="77777777" w:rsidR="00752A08" w:rsidRPr="00752A08" w:rsidRDefault="00752A08" w:rsidP="00752A08">
      <w:pPr>
        <w:pStyle w:val="Ttulo"/>
        <w:spacing w:line="360" w:lineRule="auto"/>
        <w:jc w:val="both"/>
        <w:rPr>
          <w:rFonts w:ascii="Arial" w:hAnsi="Arial" w:cs="Arial"/>
          <w:sz w:val="24"/>
          <w:szCs w:val="24"/>
        </w:rPr>
      </w:pPr>
    </w:p>
    <w:p w14:paraId="7966C8CE" w14:textId="673A2CF5"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A partir de los resultados obtenidos se pueden proponer diversas estrategias para reducir la cancelación de clientes.</w:t>
      </w:r>
    </w:p>
    <w:p w14:paraId="2B9FE1AB" w14:textId="77777777" w:rsidR="00752A08" w:rsidRPr="00752A08" w:rsidRDefault="00752A08" w:rsidP="00752A08"/>
    <w:p w14:paraId="77328743" w14:textId="77777777" w:rsidR="00752A08" w:rsidRPr="00752A08" w:rsidRDefault="00752A08" w:rsidP="00752A08">
      <w:pPr>
        <w:pStyle w:val="Ttulo"/>
        <w:numPr>
          <w:ilvl w:val="0"/>
          <w:numId w:val="10"/>
        </w:numPr>
        <w:spacing w:line="360" w:lineRule="auto"/>
        <w:jc w:val="both"/>
        <w:rPr>
          <w:rFonts w:ascii="Arial" w:hAnsi="Arial" w:cs="Arial"/>
          <w:sz w:val="24"/>
          <w:szCs w:val="24"/>
        </w:rPr>
      </w:pPr>
      <w:r w:rsidRPr="00752A08">
        <w:rPr>
          <w:rFonts w:ascii="Arial" w:hAnsi="Arial" w:cs="Arial"/>
          <w:sz w:val="24"/>
          <w:szCs w:val="24"/>
        </w:rPr>
        <w:t>Programas de fidelización para nuevos clientes</w:t>
      </w:r>
    </w:p>
    <w:p w14:paraId="687BFC10" w14:textId="77777777" w:rsidR="00752A08" w:rsidRPr="00752A08" w:rsidRDefault="00752A08" w:rsidP="00752A08">
      <w:pPr>
        <w:pStyle w:val="Ttulo"/>
        <w:spacing w:line="360" w:lineRule="auto"/>
        <w:jc w:val="both"/>
        <w:rPr>
          <w:rFonts w:ascii="Arial" w:hAnsi="Arial" w:cs="Arial"/>
          <w:sz w:val="24"/>
          <w:szCs w:val="24"/>
        </w:rPr>
      </w:pPr>
    </w:p>
    <w:p w14:paraId="4F5C530E" w14:textId="3BBED4C6" w:rsid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Dado que los clientes con menor antigüedad tienen mayor probabilidad de cancelar, se recomienda implementar programas de fidelización durante los primeros meses del servicio.</w:t>
      </w:r>
    </w:p>
    <w:p w14:paraId="415CB49C" w14:textId="77777777" w:rsidR="00752A08" w:rsidRPr="00752A08" w:rsidRDefault="00752A08" w:rsidP="00752A08"/>
    <w:p w14:paraId="0EE0D8AB" w14:textId="0C8A9690"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Esto puede incluir:</w:t>
      </w:r>
    </w:p>
    <w:p w14:paraId="7E18C19D" w14:textId="5C1085F9" w:rsidR="00752A08" w:rsidRPr="00752A08" w:rsidRDefault="00752A08" w:rsidP="00752A08">
      <w:pPr>
        <w:pStyle w:val="Ttulo"/>
        <w:numPr>
          <w:ilvl w:val="0"/>
          <w:numId w:val="11"/>
        </w:numPr>
        <w:spacing w:line="360" w:lineRule="auto"/>
        <w:jc w:val="both"/>
        <w:rPr>
          <w:rFonts w:ascii="Arial" w:hAnsi="Arial" w:cs="Arial"/>
          <w:sz w:val="24"/>
          <w:szCs w:val="24"/>
        </w:rPr>
      </w:pPr>
      <w:r w:rsidRPr="00752A08">
        <w:rPr>
          <w:rFonts w:ascii="Arial" w:hAnsi="Arial" w:cs="Arial"/>
          <w:sz w:val="24"/>
          <w:szCs w:val="24"/>
        </w:rPr>
        <w:t>descuentos iniciales</w:t>
      </w:r>
    </w:p>
    <w:p w14:paraId="290F9865" w14:textId="6D1280E0" w:rsidR="00752A08" w:rsidRPr="00752A08" w:rsidRDefault="00752A08" w:rsidP="00752A08">
      <w:pPr>
        <w:pStyle w:val="Ttulo"/>
        <w:numPr>
          <w:ilvl w:val="0"/>
          <w:numId w:val="11"/>
        </w:numPr>
        <w:spacing w:line="360" w:lineRule="auto"/>
        <w:jc w:val="both"/>
        <w:rPr>
          <w:rFonts w:ascii="Arial" w:hAnsi="Arial" w:cs="Arial"/>
          <w:sz w:val="24"/>
          <w:szCs w:val="24"/>
        </w:rPr>
      </w:pPr>
      <w:r w:rsidRPr="00752A08">
        <w:rPr>
          <w:rFonts w:ascii="Arial" w:hAnsi="Arial" w:cs="Arial"/>
          <w:sz w:val="24"/>
          <w:szCs w:val="24"/>
        </w:rPr>
        <w:t>beneficios exclusivos</w:t>
      </w:r>
    </w:p>
    <w:p w14:paraId="3F926BF9" w14:textId="0DEF846D" w:rsidR="00752A08" w:rsidRPr="00752A08" w:rsidRDefault="00752A08" w:rsidP="00752A08">
      <w:pPr>
        <w:pStyle w:val="Ttulo"/>
        <w:numPr>
          <w:ilvl w:val="0"/>
          <w:numId w:val="11"/>
        </w:numPr>
        <w:spacing w:line="360" w:lineRule="auto"/>
        <w:jc w:val="both"/>
        <w:rPr>
          <w:rFonts w:ascii="Arial" w:hAnsi="Arial" w:cs="Arial"/>
          <w:sz w:val="24"/>
          <w:szCs w:val="24"/>
        </w:rPr>
      </w:pPr>
      <w:r w:rsidRPr="00752A08">
        <w:rPr>
          <w:rFonts w:ascii="Arial" w:hAnsi="Arial" w:cs="Arial"/>
          <w:sz w:val="24"/>
          <w:szCs w:val="24"/>
        </w:rPr>
        <w:t>seguimiento personalizado</w:t>
      </w:r>
    </w:p>
    <w:p w14:paraId="6F45065F" w14:textId="77777777" w:rsidR="00752A08" w:rsidRPr="00752A08" w:rsidRDefault="00752A08" w:rsidP="00752A08">
      <w:pPr>
        <w:pStyle w:val="Ttulo"/>
        <w:numPr>
          <w:ilvl w:val="0"/>
          <w:numId w:val="11"/>
        </w:numPr>
        <w:spacing w:line="360" w:lineRule="auto"/>
        <w:jc w:val="both"/>
        <w:rPr>
          <w:rFonts w:ascii="Arial" w:hAnsi="Arial" w:cs="Arial"/>
          <w:sz w:val="24"/>
          <w:szCs w:val="24"/>
        </w:rPr>
      </w:pPr>
      <w:r w:rsidRPr="00752A08">
        <w:rPr>
          <w:rFonts w:ascii="Arial" w:hAnsi="Arial" w:cs="Arial"/>
          <w:sz w:val="24"/>
          <w:szCs w:val="24"/>
        </w:rPr>
        <w:t>Incentivos para contratos de largo plazo</w:t>
      </w:r>
    </w:p>
    <w:p w14:paraId="46125F53" w14:textId="77777777" w:rsidR="00752A08" w:rsidRPr="00752A08" w:rsidRDefault="00752A08" w:rsidP="00752A08">
      <w:pPr>
        <w:pStyle w:val="Ttulo"/>
        <w:spacing w:line="360" w:lineRule="auto"/>
        <w:jc w:val="both"/>
        <w:rPr>
          <w:rFonts w:ascii="Arial" w:hAnsi="Arial" w:cs="Arial"/>
          <w:sz w:val="24"/>
          <w:szCs w:val="24"/>
        </w:rPr>
      </w:pPr>
    </w:p>
    <w:p w14:paraId="49DFD3E2"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Ofrecer descuentos o beneficios a clientes que opten por contratos anuales o de mayor duración puede ayudar a reducir significativamente la cancelación.</w:t>
      </w:r>
    </w:p>
    <w:p w14:paraId="2AD0720D" w14:textId="77777777" w:rsidR="00752A08" w:rsidRPr="00752A08" w:rsidRDefault="00752A08" w:rsidP="00752A08">
      <w:pPr>
        <w:pStyle w:val="Ttulo"/>
        <w:spacing w:line="360" w:lineRule="auto"/>
        <w:jc w:val="both"/>
        <w:rPr>
          <w:rFonts w:ascii="Arial" w:hAnsi="Arial" w:cs="Arial"/>
          <w:sz w:val="24"/>
          <w:szCs w:val="24"/>
        </w:rPr>
      </w:pPr>
    </w:p>
    <w:p w14:paraId="19B4143F" w14:textId="77777777" w:rsidR="00752A08" w:rsidRPr="00752A08" w:rsidRDefault="00752A08" w:rsidP="00752A08">
      <w:pPr>
        <w:pStyle w:val="Ttulo"/>
        <w:numPr>
          <w:ilvl w:val="0"/>
          <w:numId w:val="10"/>
        </w:numPr>
        <w:spacing w:line="360" w:lineRule="auto"/>
        <w:jc w:val="both"/>
        <w:rPr>
          <w:rFonts w:ascii="Arial" w:hAnsi="Arial" w:cs="Arial"/>
          <w:sz w:val="24"/>
          <w:szCs w:val="24"/>
        </w:rPr>
      </w:pPr>
      <w:r w:rsidRPr="00752A08">
        <w:rPr>
          <w:rFonts w:ascii="Arial" w:hAnsi="Arial" w:cs="Arial"/>
          <w:sz w:val="24"/>
          <w:szCs w:val="24"/>
        </w:rPr>
        <w:t>Revisión de estructura de precios</w:t>
      </w:r>
    </w:p>
    <w:p w14:paraId="2C797F38" w14:textId="77777777" w:rsidR="00752A08" w:rsidRPr="00752A08" w:rsidRDefault="00752A08" w:rsidP="00752A08">
      <w:pPr>
        <w:pStyle w:val="Ttulo"/>
        <w:spacing w:line="360" w:lineRule="auto"/>
        <w:jc w:val="both"/>
        <w:rPr>
          <w:rFonts w:ascii="Arial" w:hAnsi="Arial" w:cs="Arial"/>
          <w:sz w:val="24"/>
          <w:szCs w:val="24"/>
        </w:rPr>
      </w:pPr>
    </w:p>
    <w:p w14:paraId="4C124203"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 xml:space="preserve">El análisis muestra que los clientes con cargos mensuales altos presentan mayor </w:t>
      </w:r>
      <w:proofErr w:type="spellStart"/>
      <w:r w:rsidRPr="00752A08">
        <w:rPr>
          <w:rFonts w:ascii="Arial" w:hAnsi="Arial" w:cs="Arial"/>
          <w:sz w:val="24"/>
          <w:szCs w:val="24"/>
        </w:rPr>
        <w:t>churn</w:t>
      </w:r>
      <w:proofErr w:type="spellEnd"/>
      <w:r w:rsidRPr="00752A08">
        <w:rPr>
          <w:rFonts w:ascii="Arial" w:hAnsi="Arial" w:cs="Arial"/>
          <w:sz w:val="24"/>
          <w:szCs w:val="24"/>
        </w:rPr>
        <w:t>. La empresa podría considerar:</w:t>
      </w:r>
    </w:p>
    <w:p w14:paraId="737B4F8B" w14:textId="77777777" w:rsidR="00752A08" w:rsidRPr="00752A08" w:rsidRDefault="00752A08" w:rsidP="00752A08">
      <w:pPr>
        <w:pStyle w:val="Ttulo"/>
        <w:spacing w:line="360" w:lineRule="auto"/>
        <w:jc w:val="both"/>
        <w:rPr>
          <w:rFonts w:ascii="Arial" w:hAnsi="Arial" w:cs="Arial"/>
          <w:sz w:val="24"/>
          <w:szCs w:val="24"/>
        </w:rPr>
      </w:pPr>
    </w:p>
    <w:p w14:paraId="2030853F" w14:textId="0BD08117" w:rsidR="00752A08" w:rsidRPr="00752A08" w:rsidRDefault="00752A08" w:rsidP="00752A08">
      <w:pPr>
        <w:pStyle w:val="Ttulo"/>
        <w:numPr>
          <w:ilvl w:val="0"/>
          <w:numId w:val="12"/>
        </w:numPr>
        <w:spacing w:line="360" w:lineRule="auto"/>
        <w:jc w:val="both"/>
        <w:rPr>
          <w:rFonts w:ascii="Arial" w:hAnsi="Arial" w:cs="Arial"/>
          <w:sz w:val="24"/>
          <w:szCs w:val="24"/>
        </w:rPr>
      </w:pPr>
      <w:r w:rsidRPr="00752A08">
        <w:rPr>
          <w:rFonts w:ascii="Arial" w:hAnsi="Arial" w:cs="Arial"/>
          <w:sz w:val="24"/>
          <w:szCs w:val="24"/>
        </w:rPr>
        <w:t>paquetes de servicios más flexibles</w:t>
      </w:r>
    </w:p>
    <w:p w14:paraId="0ECA2255" w14:textId="5091C738" w:rsidR="00752A08" w:rsidRPr="00752A08" w:rsidRDefault="00752A08" w:rsidP="00752A08">
      <w:pPr>
        <w:pStyle w:val="Ttulo"/>
        <w:numPr>
          <w:ilvl w:val="0"/>
          <w:numId w:val="12"/>
        </w:numPr>
        <w:spacing w:line="360" w:lineRule="auto"/>
        <w:jc w:val="both"/>
        <w:rPr>
          <w:rFonts w:ascii="Arial" w:hAnsi="Arial" w:cs="Arial"/>
          <w:sz w:val="24"/>
          <w:szCs w:val="24"/>
        </w:rPr>
      </w:pPr>
      <w:r w:rsidRPr="00752A08">
        <w:rPr>
          <w:rFonts w:ascii="Arial" w:hAnsi="Arial" w:cs="Arial"/>
          <w:sz w:val="24"/>
          <w:szCs w:val="24"/>
        </w:rPr>
        <w:t>descuentos por combinación de servicios</w:t>
      </w:r>
    </w:p>
    <w:p w14:paraId="6F178A1E" w14:textId="449C7B8F" w:rsidR="00752A08" w:rsidRPr="00752A08" w:rsidRDefault="00752A08" w:rsidP="00752A08">
      <w:pPr>
        <w:pStyle w:val="Ttulo"/>
        <w:numPr>
          <w:ilvl w:val="0"/>
          <w:numId w:val="12"/>
        </w:numPr>
        <w:spacing w:line="360" w:lineRule="auto"/>
        <w:jc w:val="both"/>
        <w:rPr>
          <w:rFonts w:ascii="Arial" w:hAnsi="Arial" w:cs="Arial"/>
          <w:sz w:val="24"/>
          <w:szCs w:val="24"/>
        </w:rPr>
      </w:pPr>
      <w:r w:rsidRPr="00752A08">
        <w:rPr>
          <w:rFonts w:ascii="Arial" w:hAnsi="Arial" w:cs="Arial"/>
          <w:sz w:val="24"/>
          <w:szCs w:val="24"/>
        </w:rPr>
        <w:t>ofertas personalizadas</w:t>
      </w:r>
    </w:p>
    <w:p w14:paraId="1935F91C" w14:textId="05CA008B" w:rsidR="00752A08" w:rsidRPr="00752A08" w:rsidRDefault="00752A08" w:rsidP="00752A08">
      <w:pPr>
        <w:pStyle w:val="Ttulo"/>
        <w:numPr>
          <w:ilvl w:val="0"/>
          <w:numId w:val="12"/>
        </w:numPr>
        <w:spacing w:line="360" w:lineRule="auto"/>
        <w:jc w:val="both"/>
        <w:rPr>
          <w:rFonts w:ascii="Arial" w:hAnsi="Arial" w:cs="Arial"/>
          <w:sz w:val="24"/>
          <w:szCs w:val="24"/>
        </w:rPr>
      </w:pPr>
      <w:r w:rsidRPr="00752A08">
        <w:rPr>
          <w:rFonts w:ascii="Arial" w:hAnsi="Arial" w:cs="Arial"/>
          <w:sz w:val="24"/>
          <w:szCs w:val="24"/>
        </w:rPr>
        <w:t>Identificación temprana de clientes en riesgo</w:t>
      </w:r>
    </w:p>
    <w:p w14:paraId="46A26463"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Utilizando los modelos desarrollados, la empresa puede identificar clientes con alta probabilidad de cancelación y aplicar estrategias preventivas antes de que decidan abandonar el servicio.</w:t>
      </w:r>
    </w:p>
    <w:p w14:paraId="5EF2132A" w14:textId="77777777" w:rsidR="00752A08" w:rsidRPr="00752A08" w:rsidRDefault="00752A08" w:rsidP="00752A08">
      <w:pPr>
        <w:pStyle w:val="Ttulo"/>
        <w:spacing w:line="360" w:lineRule="auto"/>
        <w:jc w:val="both"/>
        <w:rPr>
          <w:rFonts w:ascii="Arial" w:hAnsi="Arial" w:cs="Arial"/>
          <w:sz w:val="24"/>
          <w:szCs w:val="24"/>
        </w:rPr>
      </w:pPr>
    </w:p>
    <w:p w14:paraId="07D60D00" w14:textId="77777777" w:rsidR="00752A08" w:rsidRPr="00752A08" w:rsidRDefault="00752A08" w:rsidP="00752A08">
      <w:pPr>
        <w:pStyle w:val="Ttulo1"/>
      </w:pPr>
      <w:r w:rsidRPr="00752A08">
        <w:t>7. Conclusión</w:t>
      </w:r>
    </w:p>
    <w:p w14:paraId="39BD6B34" w14:textId="77777777" w:rsidR="00752A08" w:rsidRPr="00752A08" w:rsidRDefault="00752A08" w:rsidP="00752A08">
      <w:pPr>
        <w:pStyle w:val="Ttulo"/>
        <w:spacing w:line="360" w:lineRule="auto"/>
        <w:jc w:val="both"/>
        <w:rPr>
          <w:rFonts w:ascii="Arial" w:hAnsi="Arial" w:cs="Arial"/>
          <w:sz w:val="24"/>
          <w:szCs w:val="24"/>
        </w:rPr>
      </w:pPr>
    </w:p>
    <w:p w14:paraId="32C67831"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 xml:space="preserve">El uso de modelos de machine </w:t>
      </w:r>
      <w:proofErr w:type="spellStart"/>
      <w:r w:rsidRPr="00752A08">
        <w:rPr>
          <w:rFonts w:ascii="Arial" w:hAnsi="Arial" w:cs="Arial"/>
          <w:sz w:val="24"/>
          <w:szCs w:val="24"/>
        </w:rPr>
        <w:t>learning</w:t>
      </w:r>
      <w:proofErr w:type="spellEnd"/>
      <w:r w:rsidRPr="00752A08">
        <w:rPr>
          <w:rFonts w:ascii="Arial" w:hAnsi="Arial" w:cs="Arial"/>
          <w:sz w:val="24"/>
          <w:szCs w:val="24"/>
        </w:rPr>
        <w:t xml:space="preserve"> permitió identificar patrones importantes asociados a la cancelación de clientes. Entre los factores más relevantes se encuentran la antigüedad del cliente, el tipo de contrato y los cargos mensuales.</w:t>
      </w:r>
    </w:p>
    <w:p w14:paraId="02FDC287" w14:textId="77777777" w:rsidR="00752A08" w:rsidRPr="00752A08" w:rsidRDefault="00752A08" w:rsidP="00752A08">
      <w:pPr>
        <w:pStyle w:val="Ttulo"/>
        <w:spacing w:line="360" w:lineRule="auto"/>
        <w:jc w:val="both"/>
        <w:rPr>
          <w:rFonts w:ascii="Arial" w:hAnsi="Arial" w:cs="Arial"/>
          <w:sz w:val="24"/>
          <w:szCs w:val="24"/>
        </w:rPr>
      </w:pPr>
    </w:p>
    <w:p w14:paraId="5C1C5689" w14:textId="77777777"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El modelo Random Forest mostró el mejor desempeño, lo que sugiere que es una herramienta adecuada para predecir la cancelación en este contexto.</w:t>
      </w:r>
    </w:p>
    <w:p w14:paraId="4630A707" w14:textId="77777777" w:rsidR="00752A08" w:rsidRPr="00752A08" w:rsidRDefault="00752A08" w:rsidP="00752A08">
      <w:pPr>
        <w:pStyle w:val="Ttulo"/>
        <w:spacing w:line="360" w:lineRule="auto"/>
        <w:jc w:val="both"/>
        <w:rPr>
          <w:rFonts w:ascii="Arial" w:hAnsi="Arial" w:cs="Arial"/>
          <w:sz w:val="24"/>
          <w:szCs w:val="24"/>
        </w:rPr>
      </w:pPr>
    </w:p>
    <w:p w14:paraId="52E4AD8E" w14:textId="53849F8B" w:rsidR="00752A08" w:rsidRPr="00752A08" w:rsidRDefault="00752A08" w:rsidP="00752A08">
      <w:pPr>
        <w:pStyle w:val="Ttulo"/>
        <w:spacing w:line="360" w:lineRule="auto"/>
        <w:jc w:val="both"/>
        <w:rPr>
          <w:rFonts w:ascii="Arial" w:hAnsi="Arial" w:cs="Arial"/>
          <w:sz w:val="24"/>
          <w:szCs w:val="24"/>
        </w:rPr>
      </w:pPr>
      <w:r w:rsidRPr="00752A08">
        <w:rPr>
          <w:rFonts w:ascii="Arial" w:hAnsi="Arial" w:cs="Arial"/>
          <w:sz w:val="24"/>
          <w:szCs w:val="24"/>
        </w:rPr>
        <w:t>La implementación de estrategias basadas en estos hallazgos puede ayudar a la empresa a reducir la pérdida de clientes y mejorar su rentabilidad a largo plazo.</w:t>
      </w:r>
    </w:p>
    <w:sectPr w:rsidR="00752A08" w:rsidRPr="00752A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4B3"/>
    <w:multiLevelType w:val="hybridMultilevel"/>
    <w:tmpl w:val="A2FE74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D376E7"/>
    <w:multiLevelType w:val="hybridMultilevel"/>
    <w:tmpl w:val="87EC07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D96477"/>
    <w:multiLevelType w:val="hybridMultilevel"/>
    <w:tmpl w:val="D06E9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466919"/>
    <w:multiLevelType w:val="multilevel"/>
    <w:tmpl w:val="86E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02A9D"/>
    <w:multiLevelType w:val="multilevel"/>
    <w:tmpl w:val="E52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D1D"/>
    <w:multiLevelType w:val="hybridMultilevel"/>
    <w:tmpl w:val="F9CCC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EB5784"/>
    <w:multiLevelType w:val="hybridMultilevel"/>
    <w:tmpl w:val="B4A6BF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D7833E4"/>
    <w:multiLevelType w:val="multilevel"/>
    <w:tmpl w:val="CD6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D5408"/>
    <w:multiLevelType w:val="hybridMultilevel"/>
    <w:tmpl w:val="68A89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0F15A9"/>
    <w:multiLevelType w:val="multilevel"/>
    <w:tmpl w:val="6EB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279C2"/>
    <w:multiLevelType w:val="hybridMultilevel"/>
    <w:tmpl w:val="D480C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55D67A5"/>
    <w:multiLevelType w:val="hybridMultilevel"/>
    <w:tmpl w:val="03B0D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21226760">
    <w:abstractNumId w:val="4"/>
  </w:num>
  <w:num w:numId="2" w16cid:durableId="1147208055">
    <w:abstractNumId w:val="3"/>
  </w:num>
  <w:num w:numId="3" w16cid:durableId="1801726119">
    <w:abstractNumId w:val="9"/>
  </w:num>
  <w:num w:numId="4" w16cid:durableId="305477749">
    <w:abstractNumId w:val="7"/>
  </w:num>
  <w:num w:numId="5" w16cid:durableId="949120814">
    <w:abstractNumId w:val="2"/>
  </w:num>
  <w:num w:numId="6" w16cid:durableId="1766415545">
    <w:abstractNumId w:val="10"/>
  </w:num>
  <w:num w:numId="7" w16cid:durableId="1745058914">
    <w:abstractNumId w:val="5"/>
  </w:num>
  <w:num w:numId="8" w16cid:durableId="1007557101">
    <w:abstractNumId w:val="8"/>
  </w:num>
  <w:num w:numId="9" w16cid:durableId="1973825925">
    <w:abstractNumId w:val="11"/>
  </w:num>
  <w:num w:numId="10" w16cid:durableId="2003315592">
    <w:abstractNumId w:val="6"/>
  </w:num>
  <w:num w:numId="11" w16cid:durableId="1420829544">
    <w:abstractNumId w:val="1"/>
  </w:num>
  <w:num w:numId="12" w16cid:durableId="21693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A08"/>
    <w:rsid w:val="00066EEE"/>
    <w:rsid w:val="00346835"/>
    <w:rsid w:val="005027E5"/>
    <w:rsid w:val="00752A08"/>
    <w:rsid w:val="008445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C61E"/>
  <w15:chartTrackingRefBased/>
  <w15:docId w15:val="{8D3BBB70-292E-43A8-A173-3DBF06A8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2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52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2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2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2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2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2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2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2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2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52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2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2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2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2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2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2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2A08"/>
    <w:rPr>
      <w:rFonts w:eastAsiaTheme="majorEastAsia" w:cstheme="majorBidi"/>
      <w:color w:val="272727" w:themeColor="text1" w:themeTint="D8"/>
    </w:rPr>
  </w:style>
  <w:style w:type="paragraph" w:styleId="Ttulo">
    <w:name w:val="Title"/>
    <w:basedOn w:val="Normal"/>
    <w:next w:val="Normal"/>
    <w:link w:val="TtuloCar"/>
    <w:uiPriority w:val="10"/>
    <w:qFormat/>
    <w:rsid w:val="00752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2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2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2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2A08"/>
    <w:pPr>
      <w:spacing w:before="160"/>
      <w:jc w:val="center"/>
    </w:pPr>
    <w:rPr>
      <w:i/>
      <w:iCs/>
      <w:color w:val="404040" w:themeColor="text1" w:themeTint="BF"/>
    </w:rPr>
  </w:style>
  <w:style w:type="character" w:customStyle="1" w:styleId="CitaCar">
    <w:name w:val="Cita Car"/>
    <w:basedOn w:val="Fuentedeprrafopredeter"/>
    <w:link w:val="Cita"/>
    <w:uiPriority w:val="29"/>
    <w:rsid w:val="00752A08"/>
    <w:rPr>
      <w:i/>
      <w:iCs/>
      <w:color w:val="404040" w:themeColor="text1" w:themeTint="BF"/>
    </w:rPr>
  </w:style>
  <w:style w:type="paragraph" w:styleId="Prrafodelista">
    <w:name w:val="List Paragraph"/>
    <w:basedOn w:val="Normal"/>
    <w:uiPriority w:val="34"/>
    <w:qFormat/>
    <w:rsid w:val="00752A08"/>
    <w:pPr>
      <w:ind w:left="720"/>
      <w:contextualSpacing/>
    </w:pPr>
  </w:style>
  <w:style w:type="character" w:styleId="nfasisintenso">
    <w:name w:val="Intense Emphasis"/>
    <w:basedOn w:val="Fuentedeprrafopredeter"/>
    <w:uiPriority w:val="21"/>
    <w:qFormat/>
    <w:rsid w:val="00752A08"/>
    <w:rPr>
      <w:i/>
      <w:iCs/>
      <w:color w:val="0F4761" w:themeColor="accent1" w:themeShade="BF"/>
    </w:rPr>
  </w:style>
  <w:style w:type="paragraph" w:styleId="Citadestacada">
    <w:name w:val="Intense Quote"/>
    <w:basedOn w:val="Normal"/>
    <w:next w:val="Normal"/>
    <w:link w:val="CitadestacadaCar"/>
    <w:uiPriority w:val="30"/>
    <w:qFormat/>
    <w:rsid w:val="00752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2A08"/>
    <w:rPr>
      <w:i/>
      <w:iCs/>
      <w:color w:val="0F4761" w:themeColor="accent1" w:themeShade="BF"/>
    </w:rPr>
  </w:style>
  <w:style w:type="character" w:styleId="Referenciaintensa">
    <w:name w:val="Intense Reference"/>
    <w:basedOn w:val="Fuentedeprrafopredeter"/>
    <w:uiPriority w:val="32"/>
    <w:qFormat/>
    <w:rsid w:val="00752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769</Words>
  <Characters>4232</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ANDRES CONTRERAS GUACTE</dc:creator>
  <cp:keywords/>
  <dc:description/>
  <cp:lastModifiedBy>IGNACIO ANDRES CONTRERAS GUACTE</cp:lastModifiedBy>
  <cp:revision>1</cp:revision>
  <dcterms:created xsi:type="dcterms:W3CDTF">2026-03-09T23:40:00Z</dcterms:created>
  <dcterms:modified xsi:type="dcterms:W3CDTF">2026-03-09T23:51:00Z</dcterms:modified>
</cp:coreProperties>
</file>