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ED4D" w14:textId="4E57BB6E" w:rsidR="000174ED" w:rsidRPr="005F2B64" w:rsidRDefault="000174ED" w:rsidP="005F2B64">
      <w:pPr>
        <w:pStyle w:val="Ttulo2"/>
        <w:spacing w:line="360" w:lineRule="auto"/>
        <w:rPr>
          <w:rFonts w:ascii="Arial" w:hAnsi="Arial" w:cs="Arial"/>
          <w:sz w:val="28"/>
          <w:szCs w:val="28"/>
        </w:rPr>
      </w:pPr>
      <w:r w:rsidRPr="008F64A6">
        <w:rPr>
          <w:rFonts w:ascii="Arial" w:hAnsi="Arial" w:cs="Arial"/>
          <w:sz w:val="28"/>
          <w:szCs w:val="28"/>
        </w:rPr>
        <w:t>Introducción</w:t>
      </w:r>
    </w:p>
    <w:p w14:paraId="26F09B4F" w14:textId="77777777" w:rsidR="000174ED" w:rsidRPr="008F64A6" w:rsidRDefault="000174ED" w:rsidP="008F64A6">
      <w:pPr>
        <w:spacing w:line="360" w:lineRule="auto"/>
        <w:rPr>
          <w:rFonts w:ascii="Arial" w:hAnsi="Arial" w:cs="Arial"/>
        </w:rPr>
      </w:pPr>
      <w:r w:rsidRPr="008F64A6">
        <w:rPr>
          <w:rFonts w:ascii="Arial" w:hAnsi="Arial" w:cs="Arial"/>
        </w:rPr>
        <w:t xml:space="preserve">El presente análisis tiene como objetivo estudiar el fenómeno de evasión de clientes (Churn) en </w:t>
      </w:r>
      <w:proofErr w:type="spellStart"/>
      <w:r w:rsidRPr="008F64A6">
        <w:rPr>
          <w:rFonts w:ascii="Arial" w:hAnsi="Arial" w:cs="Arial"/>
        </w:rPr>
        <w:t>TelecomX</w:t>
      </w:r>
      <w:proofErr w:type="spellEnd"/>
      <w:r w:rsidRPr="008F64A6">
        <w:rPr>
          <w:rFonts w:ascii="Arial" w:hAnsi="Arial" w:cs="Arial"/>
        </w:rPr>
        <w:t>, identificando patrones de comportamiento y características que influyen en la decisión de los clientes de abandonar el servicio.</w:t>
      </w:r>
    </w:p>
    <w:p w14:paraId="7782F498" w14:textId="77777777" w:rsidR="000174ED" w:rsidRPr="008F64A6" w:rsidRDefault="000174ED" w:rsidP="008F64A6">
      <w:pPr>
        <w:spacing w:line="360" w:lineRule="auto"/>
        <w:rPr>
          <w:rFonts w:ascii="Arial" w:hAnsi="Arial" w:cs="Arial"/>
        </w:rPr>
      </w:pPr>
      <w:r w:rsidRPr="008F64A6">
        <w:rPr>
          <w:rFonts w:ascii="Arial" w:hAnsi="Arial" w:cs="Arial"/>
        </w:rPr>
        <w:t xml:space="preserve">La evasión representa un desafío clave para las empresas de telecomunicaciones, ya que impacta directamente en los ingresos y en la estabilidad del negocio. A través del análisis de datos históricos de clientes, se busca generar información que apoye estrategias de retención y reducción del </w:t>
      </w:r>
      <w:proofErr w:type="spellStart"/>
      <w:r w:rsidRPr="008F64A6">
        <w:rPr>
          <w:rFonts w:ascii="Arial" w:hAnsi="Arial" w:cs="Arial"/>
        </w:rPr>
        <w:t>churn</w:t>
      </w:r>
      <w:proofErr w:type="spellEnd"/>
      <w:r w:rsidRPr="008F64A6">
        <w:rPr>
          <w:rFonts w:ascii="Arial" w:hAnsi="Arial" w:cs="Arial"/>
        </w:rPr>
        <w:t>.</w:t>
      </w:r>
    </w:p>
    <w:p w14:paraId="75EE75AF" w14:textId="77777777" w:rsidR="000174ED" w:rsidRPr="000174ED" w:rsidRDefault="000174ED" w:rsidP="000174ED">
      <w:pPr>
        <w:rPr>
          <w:rFonts w:ascii="Arial" w:hAnsi="Arial" w:cs="Arial"/>
        </w:rPr>
      </w:pPr>
    </w:p>
    <w:p w14:paraId="5825AE30" w14:textId="5DEFA834" w:rsidR="000174ED" w:rsidRPr="00E9591C" w:rsidRDefault="000174ED" w:rsidP="000174ED">
      <w:pPr>
        <w:pStyle w:val="Ttulo2"/>
        <w:rPr>
          <w:rFonts w:ascii="Arial" w:hAnsi="Arial" w:cs="Arial"/>
          <w:sz w:val="28"/>
          <w:szCs w:val="28"/>
        </w:rPr>
      </w:pPr>
      <w:r w:rsidRPr="00E9591C">
        <w:rPr>
          <w:rFonts w:ascii="Arial" w:hAnsi="Arial" w:cs="Arial"/>
          <w:sz w:val="28"/>
          <w:szCs w:val="28"/>
        </w:rPr>
        <w:t>Limpieza y Tratamiento de Datos</w:t>
      </w:r>
    </w:p>
    <w:p w14:paraId="38984BC4" w14:textId="77777777" w:rsidR="000174ED" w:rsidRPr="000174ED" w:rsidRDefault="000174ED" w:rsidP="000174ED">
      <w:pPr>
        <w:rPr>
          <w:rFonts w:ascii="Arial" w:hAnsi="Arial" w:cs="Arial"/>
        </w:rPr>
      </w:pPr>
    </w:p>
    <w:p w14:paraId="130C2151" w14:textId="0E8C1450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Los datos fueron obtenidos desde un API en formato JSON, que contenía información de más de 7.000 clientes. Para su preparación se realizaron los siguientes pasos:</w:t>
      </w:r>
    </w:p>
    <w:p w14:paraId="2B3AF253" w14:textId="65D48423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Importación y normalización del JSON para obtener una estructura tabular.</w:t>
      </w:r>
    </w:p>
    <w:p w14:paraId="34F72DCE" w14:textId="43B6C1DA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Conversión de variables numéricas que se encontraban en formato texto, como:</w:t>
      </w:r>
    </w:p>
    <w:p w14:paraId="1A5C65C6" w14:textId="27D9DF51" w:rsidR="000174ED" w:rsidRPr="00E9591C" w:rsidRDefault="000174ED" w:rsidP="00E9591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proofErr w:type="spellStart"/>
      <w:proofErr w:type="gramStart"/>
      <w:r w:rsidRPr="00E9591C">
        <w:rPr>
          <w:rFonts w:ascii="Arial" w:hAnsi="Arial" w:cs="Arial"/>
          <w:lang w:val="en-US"/>
        </w:rPr>
        <w:t>account.Charges.Monthly</w:t>
      </w:r>
      <w:proofErr w:type="spellEnd"/>
      <w:proofErr w:type="gramEnd"/>
    </w:p>
    <w:p w14:paraId="0C4922D2" w14:textId="37FF1F28" w:rsidR="000174ED" w:rsidRPr="00E9591C" w:rsidRDefault="000174ED" w:rsidP="00E9591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proofErr w:type="spellStart"/>
      <w:proofErr w:type="gramStart"/>
      <w:r w:rsidRPr="00E9591C">
        <w:rPr>
          <w:rFonts w:ascii="Arial" w:hAnsi="Arial" w:cs="Arial"/>
          <w:lang w:val="en-US"/>
        </w:rPr>
        <w:t>account.Charges.Total</w:t>
      </w:r>
      <w:proofErr w:type="spellEnd"/>
      <w:proofErr w:type="gramEnd"/>
    </w:p>
    <w:p w14:paraId="0BA75029" w14:textId="17A8AC60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Tratamiento de valores faltantes, especialmente en los cargos totales, asociados a clientes con muy baja antigüedad.</w:t>
      </w:r>
    </w:p>
    <w:p w14:paraId="1B03C415" w14:textId="3023651E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Verificación de tipos de datos y consistencia de variables categóricas.</w:t>
      </w:r>
    </w:p>
    <w:p w14:paraId="0366D9D9" w14:textId="45825BEA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Conservación de categorías como “No internet </w:t>
      </w:r>
      <w:proofErr w:type="spellStart"/>
      <w:r w:rsidRPr="000174ED">
        <w:rPr>
          <w:rFonts w:ascii="Arial" w:hAnsi="Arial" w:cs="Arial"/>
        </w:rPr>
        <w:t>service</w:t>
      </w:r>
      <w:proofErr w:type="spellEnd"/>
      <w:r w:rsidRPr="000174ED">
        <w:rPr>
          <w:rFonts w:ascii="Arial" w:hAnsi="Arial" w:cs="Arial"/>
        </w:rPr>
        <w:t>”, ya que representan condiciones reales del servicio.</w:t>
      </w:r>
    </w:p>
    <w:p w14:paraId="30896FDB" w14:textId="32BD6921" w:rsidR="000174ED" w:rsidRPr="000174ED" w:rsidRDefault="000174ED" w:rsidP="00E9591C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Este proceso permitió trabajar con datos limpios y confiables para el análisis exploratorio.</w:t>
      </w:r>
    </w:p>
    <w:p w14:paraId="2394FF26" w14:textId="17E6CA20" w:rsidR="000174ED" w:rsidRPr="000174ED" w:rsidRDefault="000174ED" w:rsidP="000174ED">
      <w:pPr>
        <w:pStyle w:val="Ttulo2"/>
        <w:rPr>
          <w:rFonts w:ascii="Arial" w:hAnsi="Arial" w:cs="Arial"/>
        </w:rPr>
      </w:pPr>
      <w:r w:rsidRPr="000174ED">
        <w:rPr>
          <w:rFonts w:ascii="Arial" w:hAnsi="Arial" w:cs="Arial"/>
        </w:rPr>
        <w:lastRenderedPageBreak/>
        <w:t>Análisis Exploratorio de Datos</w:t>
      </w:r>
    </w:p>
    <w:p w14:paraId="607BBBDD" w14:textId="4E9A0A67" w:rsidR="000174ED" w:rsidRPr="000174ED" w:rsidRDefault="000174ED" w:rsidP="00DC4367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 Distribución de </w:t>
      </w:r>
      <w:proofErr w:type="spellStart"/>
      <w:r w:rsidRPr="000174ED">
        <w:rPr>
          <w:rFonts w:ascii="Arial" w:hAnsi="Arial" w:cs="Arial"/>
        </w:rPr>
        <w:t>churn</w:t>
      </w:r>
      <w:proofErr w:type="spellEnd"/>
    </w:p>
    <w:p w14:paraId="715B73A9" w14:textId="6E7F3673" w:rsidR="000174ED" w:rsidRPr="000174ED" w:rsidRDefault="000174ED" w:rsidP="00DC4367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El análisis de la variable Churn muestra que:</w:t>
      </w:r>
    </w:p>
    <w:p w14:paraId="75E041C0" w14:textId="3407635E" w:rsidR="000174ED" w:rsidRPr="00DC4367" w:rsidRDefault="000174ED" w:rsidP="00DC436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C4367">
        <w:rPr>
          <w:rFonts w:ascii="Arial" w:hAnsi="Arial" w:cs="Arial"/>
        </w:rPr>
        <w:t>71.20% de los clientes permanecen en el servicio.</w:t>
      </w:r>
    </w:p>
    <w:p w14:paraId="447BCCB3" w14:textId="1D4A210A" w:rsidR="000174ED" w:rsidRPr="00DC4367" w:rsidRDefault="000174ED" w:rsidP="00DC436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C4367">
        <w:rPr>
          <w:rFonts w:ascii="Arial" w:hAnsi="Arial" w:cs="Arial"/>
        </w:rPr>
        <w:t>25.72% de los clientes han abandonado el servicio.</w:t>
      </w:r>
    </w:p>
    <w:p w14:paraId="5C68D8F9" w14:textId="77777777" w:rsidR="000174ED" w:rsidRPr="00DC4367" w:rsidRDefault="000174ED" w:rsidP="00DC436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C4367">
        <w:rPr>
          <w:rFonts w:ascii="Arial" w:hAnsi="Arial" w:cs="Arial"/>
        </w:rPr>
        <w:t>Un 3.08% corresponde a valores atípicos o no categorizados claramente.</w:t>
      </w:r>
    </w:p>
    <w:p w14:paraId="3D58C284" w14:textId="77777777" w:rsidR="000174ED" w:rsidRPr="000174ED" w:rsidRDefault="000174ED" w:rsidP="00DC4367">
      <w:pPr>
        <w:spacing w:line="360" w:lineRule="auto"/>
        <w:rPr>
          <w:rFonts w:ascii="Arial" w:hAnsi="Arial" w:cs="Arial"/>
        </w:rPr>
      </w:pPr>
    </w:p>
    <w:p w14:paraId="112B17AD" w14:textId="77777777" w:rsidR="000174ED" w:rsidRPr="000174ED" w:rsidRDefault="000174ED" w:rsidP="00DC4367">
      <w:pPr>
        <w:spacing w:line="360" w:lineRule="auto"/>
        <w:rPr>
          <w:rFonts w:ascii="Arial" w:hAnsi="Arial" w:cs="Arial"/>
        </w:rPr>
      </w:pPr>
      <w:r w:rsidRPr="000174ED">
        <w:rPr>
          <w:rFonts w:ascii="Arial" w:hAnsi="Arial" w:cs="Arial"/>
        </w:rPr>
        <w:t>Esto evidencia una tasa de evasión significativa, lo que justifica un análisis profundo de los factores asociados.</w:t>
      </w:r>
    </w:p>
    <w:p w14:paraId="3D37F388" w14:textId="77777777" w:rsidR="000174ED" w:rsidRPr="000174ED" w:rsidRDefault="000174ED" w:rsidP="000174ED">
      <w:pPr>
        <w:rPr>
          <w:rFonts w:ascii="Arial" w:hAnsi="Arial" w:cs="Arial"/>
        </w:rPr>
      </w:pPr>
    </w:p>
    <w:p w14:paraId="10A7236B" w14:textId="6234757B" w:rsidR="000174ED" w:rsidRPr="004C1DD0" w:rsidRDefault="000174ED" w:rsidP="004C1DD0">
      <w:pPr>
        <w:pStyle w:val="Ttulo2"/>
        <w:rPr>
          <w:rFonts w:ascii="Arial" w:hAnsi="Arial" w:cs="Arial"/>
        </w:rPr>
      </w:pPr>
      <w:r w:rsidRPr="000174ED">
        <w:rPr>
          <w:rFonts w:ascii="Arial" w:hAnsi="Arial" w:cs="Arial"/>
        </w:rPr>
        <w:t>Evasión por variables categóricas</w:t>
      </w:r>
    </w:p>
    <w:p w14:paraId="4BAF6415" w14:textId="312EC425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Tipo de contrato</w:t>
      </w:r>
    </w:p>
    <w:p w14:paraId="5831D328" w14:textId="0FEBC250" w:rsidR="000174ED" w:rsidRPr="00DC4367" w:rsidRDefault="000174ED" w:rsidP="00DC436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C4367">
        <w:rPr>
          <w:rFonts w:ascii="Arial" w:hAnsi="Arial" w:cs="Arial"/>
        </w:rPr>
        <w:t xml:space="preserve">Los clientes con contrato </w:t>
      </w:r>
      <w:proofErr w:type="spellStart"/>
      <w:r w:rsidRPr="00DC4367">
        <w:rPr>
          <w:rFonts w:ascii="Arial" w:hAnsi="Arial" w:cs="Arial"/>
        </w:rPr>
        <w:t>Month-to-month</w:t>
      </w:r>
      <w:proofErr w:type="spellEnd"/>
      <w:r w:rsidRPr="00DC4367">
        <w:rPr>
          <w:rFonts w:ascii="Arial" w:hAnsi="Arial" w:cs="Arial"/>
        </w:rPr>
        <w:t xml:space="preserve"> presentan la mayor tasa de </w:t>
      </w:r>
      <w:proofErr w:type="spellStart"/>
      <w:r w:rsidRPr="00DC4367">
        <w:rPr>
          <w:rFonts w:ascii="Arial" w:hAnsi="Arial" w:cs="Arial"/>
        </w:rPr>
        <w:t>churn</w:t>
      </w:r>
      <w:proofErr w:type="spellEnd"/>
      <w:r w:rsidRPr="00DC4367">
        <w:rPr>
          <w:rFonts w:ascii="Arial" w:hAnsi="Arial" w:cs="Arial"/>
        </w:rPr>
        <w:t xml:space="preserve"> (41.32%).</w:t>
      </w:r>
    </w:p>
    <w:p w14:paraId="34B7D0DA" w14:textId="47E2C73B" w:rsidR="000174ED" w:rsidRPr="00DC4367" w:rsidRDefault="000174ED" w:rsidP="00DC436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C4367">
        <w:rPr>
          <w:rFonts w:ascii="Arial" w:hAnsi="Arial" w:cs="Arial"/>
        </w:rPr>
        <w:t xml:space="preserve">Los contratos de </w:t>
      </w:r>
      <w:proofErr w:type="spellStart"/>
      <w:r w:rsidRPr="00DC4367">
        <w:rPr>
          <w:rFonts w:ascii="Arial" w:hAnsi="Arial" w:cs="Arial"/>
        </w:rPr>
        <w:t>One</w:t>
      </w:r>
      <w:proofErr w:type="spellEnd"/>
      <w:r w:rsidRPr="00DC4367">
        <w:rPr>
          <w:rFonts w:ascii="Arial" w:hAnsi="Arial" w:cs="Arial"/>
        </w:rPr>
        <w:t xml:space="preserve"> </w:t>
      </w:r>
      <w:proofErr w:type="spellStart"/>
      <w:r w:rsidRPr="00DC4367">
        <w:rPr>
          <w:rFonts w:ascii="Arial" w:hAnsi="Arial" w:cs="Arial"/>
        </w:rPr>
        <w:t>year</w:t>
      </w:r>
      <w:proofErr w:type="spellEnd"/>
      <w:r w:rsidRPr="00DC4367">
        <w:rPr>
          <w:rFonts w:ascii="Arial" w:hAnsi="Arial" w:cs="Arial"/>
        </w:rPr>
        <w:t xml:space="preserve"> reducen considerablemente la evasión (10.93%).</w:t>
      </w:r>
    </w:p>
    <w:p w14:paraId="05FB4327" w14:textId="23B68CAE" w:rsidR="000174ED" w:rsidRPr="00DC4367" w:rsidRDefault="000174ED" w:rsidP="00DC436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C4367">
        <w:rPr>
          <w:rFonts w:ascii="Arial" w:hAnsi="Arial" w:cs="Arial"/>
        </w:rPr>
        <w:t xml:space="preserve">Los contratos de Two </w:t>
      </w:r>
      <w:proofErr w:type="spellStart"/>
      <w:r w:rsidRPr="00DC4367">
        <w:rPr>
          <w:rFonts w:ascii="Arial" w:hAnsi="Arial" w:cs="Arial"/>
        </w:rPr>
        <w:t>year</w:t>
      </w:r>
      <w:proofErr w:type="spellEnd"/>
      <w:r w:rsidRPr="00DC4367">
        <w:rPr>
          <w:rFonts w:ascii="Arial" w:hAnsi="Arial" w:cs="Arial"/>
        </w:rPr>
        <w:t xml:space="preserve"> presentan la menor tasa de </w:t>
      </w:r>
      <w:proofErr w:type="spellStart"/>
      <w:r w:rsidRPr="00DC4367">
        <w:rPr>
          <w:rFonts w:ascii="Arial" w:hAnsi="Arial" w:cs="Arial"/>
        </w:rPr>
        <w:t>churn</w:t>
      </w:r>
      <w:proofErr w:type="spellEnd"/>
      <w:r w:rsidRPr="00DC4367">
        <w:rPr>
          <w:rFonts w:ascii="Arial" w:hAnsi="Arial" w:cs="Arial"/>
        </w:rPr>
        <w:t xml:space="preserve"> (2.75%).</w:t>
      </w:r>
    </w:p>
    <w:p w14:paraId="134BD682" w14:textId="31EA0F52" w:rsidR="000174ED" w:rsidRPr="00DC4367" w:rsidRDefault="000174ED" w:rsidP="00DC436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C4367">
        <w:rPr>
          <w:rFonts w:ascii="Arial" w:hAnsi="Arial" w:cs="Arial"/>
        </w:rPr>
        <w:t>La duración del contrato es un factor clave en la retención de clientes.</w:t>
      </w:r>
    </w:p>
    <w:p w14:paraId="5F70FA90" w14:textId="77777777" w:rsidR="000174ED" w:rsidRPr="000174ED" w:rsidRDefault="000174ED" w:rsidP="000174ED">
      <w:pPr>
        <w:rPr>
          <w:rFonts w:ascii="Arial" w:hAnsi="Arial" w:cs="Arial"/>
        </w:rPr>
      </w:pPr>
    </w:p>
    <w:p w14:paraId="0C494F24" w14:textId="77777777" w:rsidR="000174ED" w:rsidRPr="00E66AF6" w:rsidRDefault="000174ED" w:rsidP="000174ED">
      <w:pPr>
        <w:pStyle w:val="Ttulo2"/>
        <w:rPr>
          <w:rFonts w:ascii="Arial" w:hAnsi="Arial" w:cs="Arial"/>
          <w:sz w:val="28"/>
          <w:szCs w:val="28"/>
        </w:rPr>
      </w:pPr>
      <w:r w:rsidRPr="00E66AF6">
        <w:rPr>
          <w:rFonts w:ascii="Arial" w:hAnsi="Arial" w:cs="Arial"/>
          <w:sz w:val="28"/>
          <w:szCs w:val="28"/>
        </w:rPr>
        <w:t>Servicio de internet</w:t>
      </w:r>
    </w:p>
    <w:p w14:paraId="736DCFF9" w14:textId="77777777" w:rsidR="000174ED" w:rsidRPr="000174ED" w:rsidRDefault="000174ED" w:rsidP="000174ED">
      <w:pPr>
        <w:rPr>
          <w:rFonts w:ascii="Arial" w:hAnsi="Arial" w:cs="Arial"/>
        </w:rPr>
      </w:pPr>
    </w:p>
    <w:p w14:paraId="157D9CFE" w14:textId="1F19B303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Clientes con Fiber </w:t>
      </w:r>
      <w:proofErr w:type="spellStart"/>
      <w:r w:rsidRPr="000174ED">
        <w:rPr>
          <w:rFonts w:ascii="Arial" w:hAnsi="Arial" w:cs="Arial"/>
        </w:rPr>
        <w:t>optic</w:t>
      </w:r>
      <w:proofErr w:type="spellEnd"/>
      <w:r w:rsidRPr="000174ED">
        <w:rPr>
          <w:rFonts w:ascii="Arial" w:hAnsi="Arial" w:cs="Arial"/>
        </w:rPr>
        <w:t xml:space="preserve"> presentan una alta tasa de </w:t>
      </w:r>
      <w:proofErr w:type="spellStart"/>
      <w:r w:rsidRPr="000174ED">
        <w:rPr>
          <w:rFonts w:ascii="Arial" w:hAnsi="Arial" w:cs="Arial"/>
        </w:rPr>
        <w:t>churn</w:t>
      </w:r>
      <w:proofErr w:type="spellEnd"/>
      <w:r w:rsidRPr="000174ED">
        <w:rPr>
          <w:rFonts w:ascii="Arial" w:hAnsi="Arial" w:cs="Arial"/>
        </w:rPr>
        <w:t xml:space="preserve"> (40.56%).</w:t>
      </w:r>
    </w:p>
    <w:p w14:paraId="07F5AC4B" w14:textId="02188BB8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con DSL muestran una evasión menor (18.45%).</w:t>
      </w:r>
    </w:p>
    <w:p w14:paraId="741E6998" w14:textId="5D064521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sin servicio de internet presentan la menor evasión (7.15%).</w:t>
      </w:r>
    </w:p>
    <w:p w14:paraId="38B62EE7" w14:textId="39E885D8" w:rsidR="000174ED" w:rsidRPr="00E66AF6" w:rsidRDefault="000174ED" w:rsidP="00E66AF6">
      <w:pPr>
        <w:pStyle w:val="Ttulo2"/>
        <w:rPr>
          <w:rFonts w:ascii="Arial" w:hAnsi="Arial" w:cs="Arial"/>
          <w:sz w:val="28"/>
          <w:szCs w:val="28"/>
        </w:rPr>
      </w:pPr>
      <w:r w:rsidRPr="00E66AF6">
        <w:rPr>
          <w:rFonts w:ascii="Arial" w:hAnsi="Arial" w:cs="Arial"/>
          <w:sz w:val="28"/>
          <w:szCs w:val="28"/>
        </w:rPr>
        <w:t>Soporte técnico</w:t>
      </w:r>
    </w:p>
    <w:p w14:paraId="5DF8B555" w14:textId="0976CE5A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Clientes sin soporte técnico presentan una alta tasa de </w:t>
      </w:r>
      <w:proofErr w:type="spellStart"/>
      <w:r w:rsidRPr="000174ED">
        <w:rPr>
          <w:rFonts w:ascii="Arial" w:hAnsi="Arial" w:cs="Arial"/>
        </w:rPr>
        <w:t>churn</w:t>
      </w:r>
      <w:proofErr w:type="spellEnd"/>
      <w:r w:rsidRPr="000174ED">
        <w:rPr>
          <w:rFonts w:ascii="Arial" w:hAnsi="Arial" w:cs="Arial"/>
        </w:rPr>
        <w:t xml:space="preserve"> (40.37%).</w:t>
      </w:r>
    </w:p>
    <w:p w14:paraId="310F1A79" w14:textId="73E7F1A5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con soporte técnico reducen notablemente la evasión (14.73%).</w:t>
      </w:r>
    </w:p>
    <w:p w14:paraId="1E93EA1B" w14:textId="69591DB7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Clientes sin servicio de internet mantienen una baja tasa de </w:t>
      </w:r>
      <w:proofErr w:type="spellStart"/>
      <w:r w:rsidRPr="000174ED">
        <w:rPr>
          <w:rFonts w:ascii="Arial" w:hAnsi="Arial" w:cs="Arial"/>
        </w:rPr>
        <w:t>churn</w:t>
      </w:r>
      <w:proofErr w:type="spellEnd"/>
      <w:r w:rsidRPr="000174ED">
        <w:rPr>
          <w:rFonts w:ascii="Arial" w:hAnsi="Arial" w:cs="Arial"/>
        </w:rPr>
        <w:t xml:space="preserve"> (7.15%).</w:t>
      </w:r>
    </w:p>
    <w:p w14:paraId="38B97BB3" w14:textId="21459A7D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Los servicios adicionales aumentan el valor percibido y reducen la evasión.</w:t>
      </w:r>
    </w:p>
    <w:p w14:paraId="3ECB5F3D" w14:textId="76433E72" w:rsidR="000174ED" w:rsidRPr="003749D4" w:rsidRDefault="000174ED" w:rsidP="000174ED">
      <w:pPr>
        <w:pStyle w:val="Ttulo2"/>
        <w:rPr>
          <w:rFonts w:ascii="Arial" w:hAnsi="Arial" w:cs="Arial"/>
          <w:sz w:val="28"/>
          <w:szCs w:val="28"/>
        </w:rPr>
      </w:pPr>
      <w:r w:rsidRPr="003749D4">
        <w:rPr>
          <w:rFonts w:ascii="Arial" w:hAnsi="Arial" w:cs="Arial"/>
          <w:sz w:val="28"/>
          <w:szCs w:val="28"/>
        </w:rPr>
        <w:lastRenderedPageBreak/>
        <w:t>Evasión por variables numéricas</w:t>
      </w:r>
    </w:p>
    <w:p w14:paraId="1B117F81" w14:textId="77777777" w:rsidR="000174ED" w:rsidRPr="000174ED" w:rsidRDefault="000174ED" w:rsidP="000174ED">
      <w:pPr>
        <w:rPr>
          <w:rFonts w:ascii="Arial" w:hAnsi="Arial" w:cs="Arial"/>
        </w:rPr>
      </w:pPr>
    </w:p>
    <w:p w14:paraId="244F9010" w14:textId="4BE3E495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Antigüedad (</w:t>
      </w:r>
      <w:proofErr w:type="spellStart"/>
      <w:r w:rsidRPr="000174ED">
        <w:rPr>
          <w:rFonts w:ascii="Arial" w:hAnsi="Arial" w:cs="Arial"/>
        </w:rPr>
        <w:t>tenure</w:t>
      </w:r>
      <w:proofErr w:type="spellEnd"/>
      <w:r w:rsidRPr="000174ED">
        <w:rPr>
          <w:rFonts w:ascii="Arial" w:hAnsi="Arial" w:cs="Arial"/>
        </w:rPr>
        <w:t>)</w:t>
      </w:r>
    </w:p>
    <w:p w14:paraId="5FF4CC51" w14:textId="775FA8B8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que permanecen: media de 37.6 meses</w:t>
      </w:r>
    </w:p>
    <w:p w14:paraId="70B99E27" w14:textId="5C81B543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que abandonan: media de 18.0 meses</w:t>
      </w:r>
    </w:p>
    <w:p w14:paraId="2AA2F178" w14:textId="154BCB2A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La evasión ocurre principalmente en clientes con menor antigüedad.</w:t>
      </w:r>
    </w:p>
    <w:p w14:paraId="1C413FB7" w14:textId="6EE4D03B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Cargos mensuales</w:t>
      </w:r>
    </w:p>
    <w:p w14:paraId="4D29F3FD" w14:textId="688D5F55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que abandonan tienen un cargo mensual promedio más alto (74.44) que los clientes que permanecen (61.27).</w:t>
      </w:r>
    </w:p>
    <w:p w14:paraId="6216CB95" w14:textId="5FB8D072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Cargos totales</w:t>
      </w:r>
    </w:p>
    <w:p w14:paraId="1F8CFFED" w14:textId="77777777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Clientes que permanecen acumulan mayores cargos totales (2555.34) frente a los clientes que abandonan (1531.80), lo cual está directamente relacionado con la menor antigüedad de los clientes con </w:t>
      </w:r>
      <w:proofErr w:type="spellStart"/>
      <w:r w:rsidRPr="000174ED">
        <w:rPr>
          <w:rFonts w:ascii="Arial" w:hAnsi="Arial" w:cs="Arial"/>
        </w:rPr>
        <w:t>churn</w:t>
      </w:r>
      <w:proofErr w:type="spellEnd"/>
      <w:r w:rsidRPr="000174ED">
        <w:rPr>
          <w:rFonts w:ascii="Arial" w:hAnsi="Arial" w:cs="Arial"/>
        </w:rPr>
        <w:t>.</w:t>
      </w:r>
    </w:p>
    <w:p w14:paraId="7F42F70B" w14:textId="77777777" w:rsidR="000174ED" w:rsidRPr="000174ED" w:rsidRDefault="000174ED" w:rsidP="000174ED">
      <w:pPr>
        <w:rPr>
          <w:rFonts w:ascii="Arial" w:hAnsi="Arial" w:cs="Arial"/>
        </w:rPr>
      </w:pPr>
    </w:p>
    <w:p w14:paraId="470C59EE" w14:textId="5F126D37" w:rsidR="000174ED" w:rsidRPr="003749D4" w:rsidRDefault="000174ED" w:rsidP="000174ED">
      <w:pPr>
        <w:rPr>
          <w:rFonts w:ascii="Arial" w:hAnsi="Arial" w:cs="Arial"/>
          <w:sz w:val="28"/>
          <w:szCs w:val="28"/>
        </w:rPr>
      </w:pPr>
      <w:r w:rsidRPr="003749D4">
        <w:rPr>
          <w:rStyle w:val="Ttulo2Car"/>
          <w:rFonts w:ascii="Arial" w:hAnsi="Arial" w:cs="Arial"/>
          <w:sz w:val="28"/>
          <w:szCs w:val="28"/>
        </w:rPr>
        <w:t xml:space="preserve">Conclusiones e </w:t>
      </w:r>
      <w:proofErr w:type="spellStart"/>
      <w:r w:rsidRPr="003749D4">
        <w:rPr>
          <w:rStyle w:val="Ttulo2Car"/>
          <w:rFonts w:ascii="Arial" w:hAnsi="Arial" w:cs="Arial"/>
          <w:sz w:val="28"/>
          <w:szCs w:val="28"/>
        </w:rPr>
        <w:t>Insights</w:t>
      </w:r>
      <w:proofErr w:type="spellEnd"/>
    </w:p>
    <w:p w14:paraId="3FE2DFE5" w14:textId="77777777" w:rsidR="000174ED" w:rsidRPr="000174ED" w:rsidRDefault="000174ED" w:rsidP="000174ED">
      <w:pPr>
        <w:rPr>
          <w:rFonts w:ascii="Arial" w:hAnsi="Arial" w:cs="Arial"/>
        </w:rPr>
      </w:pPr>
    </w:p>
    <w:p w14:paraId="030669B7" w14:textId="019EE959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El análisis revela que la evasión de clientes en </w:t>
      </w:r>
      <w:proofErr w:type="spellStart"/>
      <w:r w:rsidRPr="000174ED">
        <w:rPr>
          <w:rFonts w:ascii="Arial" w:hAnsi="Arial" w:cs="Arial"/>
        </w:rPr>
        <w:t>TelecomX</w:t>
      </w:r>
      <w:proofErr w:type="spellEnd"/>
      <w:r w:rsidRPr="000174ED">
        <w:rPr>
          <w:rFonts w:ascii="Arial" w:hAnsi="Arial" w:cs="Arial"/>
        </w:rPr>
        <w:t xml:space="preserve"> no es aleatoria y se concentra principalmente en:</w:t>
      </w:r>
    </w:p>
    <w:p w14:paraId="5D6299E7" w14:textId="113381F0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con baja antigüedad.</w:t>
      </w:r>
    </w:p>
    <w:p w14:paraId="506AA6DB" w14:textId="39B72BCC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con contratos mensuales.</w:t>
      </w:r>
    </w:p>
    <w:p w14:paraId="7EACD536" w14:textId="3A79CDE8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con cargos mensuales elevados.</w:t>
      </w:r>
    </w:p>
    <w:p w14:paraId="0D030450" w14:textId="39DD1CFD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Clientes que no cuentan con servicios adicionales, especialmente soporte técnico.</w:t>
      </w:r>
    </w:p>
    <w:p w14:paraId="0B91280A" w14:textId="4D63187C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 xml:space="preserve">Usuarios de internet por fibra óptica, que presentan una tasa de </w:t>
      </w:r>
      <w:proofErr w:type="spellStart"/>
      <w:r w:rsidRPr="000174ED">
        <w:rPr>
          <w:rFonts w:ascii="Arial" w:hAnsi="Arial" w:cs="Arial"/>
        </w:rPr>
        <w:t>churn</w:t>
      </w:r>
      <w:proofErr w:type="spellEnd"/>
      <w:r w:rsidRPr="000174ED">
        <w:rPr>
          <w:rFonts w:ascii="Arial" w:hAnsi="Arial" w:cs="Arial"/>
        </w:rPr>
        <w:t xml:space="preserve"> elevada.</w:t>
      </w:r>
    </w:p>
    <w:p w14:paraId="238544C0" w14:textId="1A0DC5D4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Estos factores permiten identificar perfiles de clientes con mayor riesgo de abandono.</w:t>
      </w:r>
    </w:p>
    <w:p w14:paraId="4AAB37F1" w14:textId="274CCD29" w:rsidR="000174ED" w:rsidRPr="003749D4" w:rsidRDefault="000174ED" w:rsidP="000174ED">
      <w:pPr>
        <w:pStyle w:val="Ttulo2"/>
        <w:rPr>
          <w:rFonts w:ascii="Arial" w:hAnsi="Arial" w:cs="Arial"/>
          <w:sz w:val="28"/>
          <w:szCs w:val="28"/>
        </w:rPr>
      </w:pPr>
      <w:r w:rsidRPr="003749D4">
        <w:rPr>
          <w:rFonts w:ascii="Arial" w:hAnsi="Arial" w:cs="Arial"/>
          <w:sz w:val="28"/>
          <w:szCs w:val="28"/>
        </w:rPr>
        <w:t>Recomendaciones</w:t>
      </w:r>
    </w:p>
    <w:p w14:paraId="258DE940" w14:textId="77777777" w:rsidR="000174ED" w:rsidRPr="000174ED" w:rsidRDefault="000174ED" w:rsidP="000174ED">
      <w:pPr>
        <w:rPr>
          <w:rFonts w:ascii="Arial" w:hAnsi="Arial" w:cs="Arial"/>
        </w:rPr>
      </w:pPr>
    </w:p>
    <w:p w14:paraId="5D493ABA" w14:textId="0E962B46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A partir de los hallazgos obtenidos, se sugieren las siguientes acciones estratégicas:</w:t>
      </w:r>
    </w:p>
    <w:p w14:paraId="1B96CB53" w14:textId="604B7044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Implementar programas de fidelización temprana para clientes nuevos.</w:t>
      </w:r>
    </w:p>
    <w:p w14:paraId="21B1612B" w14:textId="1DB320DF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lastRenderedPageBreak/>
        <w:t>Incentivar contratos de mayor duración mediante descuentos o beneficios</w:t>
      </w:r>
    </w:p>
    <w:p w14:paraId="155328FC" w14:textId="1DD14EDD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Promover la contratación de servicios adicionales, especialmente soporte técnico.</w:t>
      </w:r>
    </w:p>
    <w:p w14:paraId="78493389" w14:textId="0A6B520A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Diseñar planes personalizados para clientes con cargos mensuales elevados.</w:t>
      </w:r>
    </w:p>
    <w:p w14:paraId="75B3246E" w14:textId="5D5F9B5E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Analizar en mayor profundidad el servicio de fibra óptica para identificar posibles causas de insatisfacción.</w:t>
      </w:r>
    </w:p>
    <w:p w14:paraId="74898CA4" w14:textId="77777777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Estas estrategias pueden contribuir a reducir la tasa de evasión y mejorar la retención de clientes.</w:t>
      </w:r>
    </w:p>
    <w:p w14:paraId="5BE55302" w14:textId="77777777" w:rsidR="000174ED" w:rsidRPr="000174ED" w:rsidRDefault="000174ED" w:rsidP="000174ED">
      <w:pPr>
        <w:rPr>
          <w:rFonts w:ascii="Arial" w:hAnsi="Arial" w:cs="Arial"/>
        </w:rPr>
      </w:pPr>
    </w:p>
    <w:p w14:paraId="451C02C3" w14:textId="5AA762F8" w:rsidR="000174ED" w:rsidRPr="003749D4" w:rsidRDefault="000174ED" w:rsidP="004C1DD0">
      <w:pPr>
        <w:pStyle w:val="Ttulo2"/>
        <w:rPr>
          <w:rFonts w:ascii="Arial" w:hAnsi="Arial" w:cs="Arial"/>
          <w:sz w:val="28"/>
          <w:szCs w:val="28"/>
        </w:rPr>
      </w:pPr>
      <w:r w:rsidRPr="003749D4">
        <w:rPr>
          <w:rFonts w:ascii="Arial" w:hAnsi="Arial" w:cs="Arial"/>
          <w:sz w:val="28"/>
          <w:szCs w:val="28"/>
        </w:rPr>
        <w:t>Comentarios y Actividad</w:t>
      </w:r>
    </w:p>
    <w:p w14:paraId="0257FDD9" w14:textId="5EA2C688" w:rsidR="000174ED" w:rsidRPr="000174ED" w:rsidRDefault="000174ED" w:rsidP="000174ED">
      <w:pPr>
        <w:rPr>
          <w:rFonts w:ascii="Arial" w:hAnsi="Arial" w:cs="Arial"/>
        </w:rPr>
      </w:pPr>
      <w:r w:rsidRPr="000174ED">
        <w:rPr>
          <w:rFonts w:ascii="Arial" w:hAnsi="Arial" w:cs="Arial"/>
        </w:rPr>
        <w:t>Este desafío permitió aplicar técnicas de extracción de datos desde un API, limpieza, transformación y análisis exploratorio, conectando los resultados con decisiones de negocio. El análisis demuestra cómo los datos pueden utilizarse como una herramienta clave para la toma de decisiones estratégicas.</w:t>
      </w:r>
    </w:p>
    <w:sectPr w:rsidR="000174ED" w:rsidRPr="00017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763"/>
    <w:multiLevelType w:val="hybridMultilevel"/>
    <w:tmpl w:val="3C5CF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662EF"/>
    <w:multiLevelType w:val="hybridMultilevel"/>
    <w:tmpl w:val="65F84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E60BF"/>
    <w:multiLevelType w:val="hybridMultilevel"/>
    <w:tmpl w:val="956A9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F1DB3"/>
    <w:multiLevelType w:val="hybridMultilevel"/>
    <w:tmpl w:val="072446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520330">
    <w:abstractNumId w:val="0"/>
  </w:num>
  <w:num w:numId="2" w16cid:durableId="26218131">
    <w:abstractNumId w:val="2"/>
  </w:num>
  <w:num w:numId="3" w16cid:durableId="1373772460">
    <w:abstractNumId w:val="3"/>
  </w:num>
  <w:num w:numId="4" w16cid:durableId="102448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ED"/>
    <w:rsid w:val="000174ED"/>
    <w:rsid w:val="00064939"/>
    <w:rsid w:val="00067A47"/>
    <w:rsid w:val="001B7AEF"/>
    <w:rsid w:val="003749D4"/>
    <w:rsid w:val="004C1DD0"/>
    <w:rsid w:val="005F2B64"/>
    <w:rsid w:val="008445B7"/>
    <w:rsid w:val="008F64A6"/>
    <w:rsid w:val="009533F6"/>
    <w:rsid w:val="00A91E9E"/>
    <w:rsid w:val="00DC4367"/>
    <w:rsid w:val="00E66AF6"/>
    <w:rsid w:val="00E9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EC83C"/>
  <w15:chartTrackingRefBased/>
  <w15:docId w15:val="{BFCB525C-A589-4B0A-998B-D9A5129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4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4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4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4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4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4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4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4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e8f0f8-2710-4c9a-8f96-3dcd3c6417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EB5FFBC5CA004697A250107482C169" ma:contentTypeVersion="14" ma:contentTypeDescription="Create a new document." ma:contentTypeScope="" ma:versionID="d9c4d88cf8f28026f98dd3c122f28f0e">
  <xsd:schema xmlns:xsd="http://www.w3.org/2001/XMLSchema" xmlns:xs="http://www.w3.org/2001/XMLSchema" xmlns:p="http://schemas.microsoft.com/office/2006/metadata/properties" xmlns:ns3="f0e8f0f8-2710-4c9a-8f96-3dcd3c641702" xmlns:ns4="62e8303a-c45e-4f10-873c-121754b0727b" targetNamespace="http://schemas.microsoft.com/office/2006/metadata/properties" ma:root="true" ma:fieldsID="37d798a39460f44d5265e8296bb6a847" ns3:_="" ns4:_="">
    <xsd:import namespace="f0e8f0f8-2710-4c9a-8f96-3dcd3c641702"/>
    <xsd:import namespace="62e8303a-c45e-4f10-873c-121754b072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f0f8-2710-4c9a-8f96-3dcd3c6417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8303a-c45e-4f10-873c-121754b0727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CED684-6143-4BC9-9A16-A453B4AE22F3}">
  <ds:schemaRefs>
    <ds:schemaRef ds:uri="http://schemas.microsoft.com/office/2006/metadata/properties"/>
    <ds:schemaRef ds:uri="http://schemas.microsoft.com/office/infopath/2007/PartnerControls"/>
    <ds:schemaRef ds:uri="f0e8f0f8-2710-4c9a-8f96-3dcd3c641702"/>
  </ds:schemaRefs>
</ds:datastoreItem>
</file>

<file path=customXml/itemProps2.xml><?xml version="1.0" encoding="utf-8"?>
<ds:datastoreItem xmlns:ds="http://schemas.openxmlformats.org/officeDocument/2006/customXml" ds:itemID="{E7DEF147-1D57-4371-9DC7-CE522C245B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282643-1472-49C8-9083-6710ED01D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8f0f8-2710-4c9a-8f96-3dcd3c641702"/>
    <ds:schemaRef ds:uri="62e8303a-c45e-4f10-873c-121754b0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651</Words>
  <Characters>3928</Characters>
  <Application>Microsoft Office Word</Application>
  <DocSecurity>0</DocSecurity>
  <Lines>103</Lines>
  <Paragraphs>71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CONTRERAS GUACTE</dc:creator>
  <cp:keywords/>
  <dc:description/>
  <cp:lastModifiedBy>IGNACIO ANDRES CONTRERAS GUACTE</cp:lastModifiedBy>
  <cp:revision>12</cp:revision>
  <dcterms:created xsi:type="dcterms:W3CDTF">2026-02-28T18:17:00Z</dcterms:created>
  <dcterms:modified xsi:type="dcterms:W3CDTF">2026-03-01T19:41:00Z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0x010100C9EB5FFBC5CA004697A250107482C169</vt:lpwstr>
  </property>
</Properties>
</file>