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5E3" w:rsidRDefault="008635E3" w:rsidP="00C730E4">
      <w:pPr>
        <w:pStyle w:val="Abstract"/>
        <w:jc w:val="center"/>
      </w:pPr>
      <w:bookmarkStart w:id="0" w:name="_Ref398855921"/>
      <w:bookmarkStart w:id="1" w:name="_Toc404672119"/>
      <w:bookmarkStart w:id="2" w:name="_Ref398731956"/>
      <w:r>
        <w:t>Two-tank Simulation Development</w:t>
      </w:r>
      <w:bookmarkEnd w:id="0"/>
      <w:bookmarkEnd w:id="1"/>
      <w:bookmarkEnd w:id="2"/>
    </w:p>
    <w:p w:rsidR="008635E3" w:rsidRDefault="008635E3" w:rsidP="008635E3">
      <w:pPr>
        <w:pStyle w:val="AppendixHeading2"/>
        <w:numPr>
          <w:ilvl w:val="1"/>
          <w:numId w:val="3"/>
        </w:numPr>
      </w:pPr>
      <w:bookmarkStart w:id="3" w:name="_Toc339856612"/>
      <w:r>
        <w:t xml:space="preserve"> </w:t>
      </w:r>
      <w:bookmarkStart w:id="4" w:name="_Toc404672120"/>
      <w:r>
        <w:t xml:space="preserve">Model of </w:t>
      </w:r>
      <w:r w:rsidRPr="006A1DB9">
        <w:t>Example</w:t>
      </w:r>
      <w:r>
        <w:t xml:space="preserve"> System</w:t>
      </w:r>
      <w:bookmarkEnd w:id="3"/>
      <w:bookmarkEnd w:id="4"/>
    </w:p>
    <w:p w:rsidR="008635E3" w:rsidRPr="00356BDB" w:rsidRDefault="008635E3" w:rsidP="008635E3">
      <w:r>
        <w:t>An example system was chosen for the development and testing of the methods presented in this report. The fundamental model of this system was derived and the system was modelled in Simulink. A description of this system and the generation of the model is provided here.</w:t>
      </w:r>
    </w:p>
    <w:p w:rsidR="008635E3" w:rsidRPr="00B102A2" w:rsidRDefault="008635E3" w:rsidP="008635E3">
      <w:pPr>
        <w:pStyle w:val="Heading3"/>
        <w:numPr>
          <w:ilvl w:val="2"/>
          <w:numId w:val="39"/>
        </w:numPr>
      </w:pPr>
      <w:bookmarkStart w:id="5" w:name="_Toc339856613"/>
      <w:bookmarkStart w:id="6" w:name="_Toc404672121"/>
      <w:r w:rsidRPr="00D61869">
        <w:t>Goals</w:t>
      </w:r>
      <w:bookmarkEnd w:id="5"/>
      <w:bookmarkEnd w:id="6"/>
    </w:p>
    <w:p w:rsidR="008635E3" w:rsidRPr="00B102A2" w:rsidRDefault="008635E3" w:rsidP="008635E3">
      <w:r w:rsidRPr="00B102A2">
        <w:t>A model of a system containing two tanks with heating coils is to be developed. T</w:t>
      </w:r>
      <w:bookmarkStart w:id="7" w:name="_GoBack"/>
      <w:bookmarkEnd w:id="7"/>
      <w:r w:rsidRPr="00B102A2">
        <w:t>he dynamic behaviour of all variables in</w:t>
      </w:r>
      <w:r>
        <w:t xml:space="preserve"> the system is to be modelled so that data generated from this model can be used in the development and testing of data-based monitoring methods and data-based methods of inferring connectivity between variables.</w:t>
      </w:r>
    </w:p>
    <w:p w:rsidR="008635E3" w:rsidRPr="00B102A2" w:rsidRDefault="008635E3" w:rsidP="008635E3">
      <w:pPr>
        <w:pStyle w:val="Heading3"/>
        <w:numPr>
          <w:ilvl w:val="2"/>
          <w:numId w:val="39"/>
        </w:numPr>
      </w:pPr>
      <w:bookmarkStart w:id="8" w:name="_Toc339856614"/>
      <w:bookmarkStart w:id="9" w:name="_Toc404672122"/>
      <w:r w:rsidRPr="00B102A2">
        <w:t>Information</w:t>
      </w:r>
      <w:bookmarkEnd w:id="8"/>
      <w:bookmarkEnd w:id="9"/>
    </w:p>
    <w:p w:rsidR="008635E3" w:rsidRDefault="008635E3" w:rsidP="008635E3">
      <w:r w:rsidRPr="00B102A2">
        <w:t xml:space="preserve">The </w:t>
      </w:r>
      <w:r>
        <w:t xml:space="preserve">chosen example </w:t>
      </w:r>
      <w:r w:rsidRPr="00B102A2">
        <w:t xml:space="preserve">system consists of two tanks. A diagram of the system is shown in </w:t>
      </w:r>
      <w:r w:rsidR="00733FF1">
        <w:fldChar w:fldCharType="begin"/>
      </w:r>
      <w:r w:rsidR="00733FF1">
        <w:instrText xml:space="preserve"> REF _Ref404926651 \h </w:instrText>
      </w:r>
      <w:r w:rsidR="00733FF1">
        <w:fldChar w:fldCharType="separate"/>
      </w:r>
      <w:r w:rsidR="00A85791">
        <w:t xml:space="preserve">Figure </w:t>
      </w:r>
      <w:r w:rsidR="00A85791">
        <w:rPr>
          <w:noProof/>
        </w:rPr>
        <w:t>1</w:t>
      </w:r>
      <w:r w:rsidR="00733FF1">
        <w:fldChar w:fldCharType="end"/>
      </w:r>
      <w:r w:rsidR="00733FF1">
        <w:t>.</w:t>
      </w:r>
    </w:p>
    <w:p w:rsidR="008635E3" w:rsidRDefault="008635E3" w:rsidP="008635E3">
      <w:r w:rsidRPr="00B102A2">
        <w:t xml:space="preserve">The outlet flow from both tanks is proportional to the square root of the level in each tank. The outlet from the first tank flows into the second tank. Each tank has its own supply of cold water with a control valve to control the level of each tank. Each tank also exchanges heat with a steam line. The temperature in the tanks is controlled using the control valves on the steam lines. </w:t>
      </w:r>
    </w:p>
    <w:p w:rsidR="008635E3" w:rsidRDefault="008635E3" w:rsidP="008635E3">
      <w:r w:rsidRPr="00B102A2">
        <w:t>The main variables of interest are the flow rate of the inlet streams to the tanks, F</w:t>
      </w:r>
      <w:r w:rsidRPr="002B7F32">
        <w:rPr>
          <w:vertAlign w:val="subscript"/>
        </w:rPr>
        <w:t>1</w:t>
      </w:r>
      <w:r w:rsidRPr="00B102A2">
        <w:t xml:space="preserve"> and F</w:t>
      </w:r>
      <w:r w:rsidRPr="002B7F32">
        <w:rPr>
          <w:vertAlign w:val="subscript"/>
        </w:rPr>
        <w:t>2</w:t>
      </w:r>
      <w:r w:rsidRPr="00B102A2">
        <w:t>, the flow rates of the steam in the heating coils in both tanks, F</w:t>
      </w:r>
      <w:r w:rsidRPr="002B7F32">
        <w:rPr>
          <w:vertAlign w:val="subscript"/>
        </w:rPr>
        <w:t>3</w:t>
      </w:r>
      <w:r w:rsidRPr="00B102A2">
        <w:t xml:space="preserve"> and F</w:t>
      </w:r>
      <w:r w:rsidRPr="002B7F32">
        <w:rPr>
          <w:vertAlign w:val="subscript"/>
        </w:rPr>
        <w:t>4</w:t>
      </w:r>
      <w:r w:rsidRPr="00B102A2">
        <w:t>, the levels of both tanks, L</w:t>
      </w:r>
      <w:r w:rsidRPr="002B7F32">
        <w:rPr>
          <w:vertAlign w:val="subscript"/>
        </w:rPr>
        <w:t>1</w:t>
      </w:r>
      <w:r w:rsidRPr="00B102A2">
        <w:t xml:space="preserve"> and L</w:t>
      </w:r>
      <w:r w:rsidRPr="002B7F32">
        <w:rPr>
          <w:vertAlign w:val="subscript"/>
        </w:rPr>
        <w:t>2</w:t>
      </w:r>
      <w:r w:rsidRPr="00B102A2">
        <w:t>, and the temperatures of both tanks, T</w:t>
      </w:r>
      <w:r w:rsidRPr="002B7F32">
        <w:rPr>
          <w:vertAlign w:val="subscript"/>
        </w:rPr>
        <w:t>1</w:t>
      </w:r>
      <w:r w:rsidRPr="00B102A2">
        <w:t xml:space="preserve"> and T</w:t>
      </w:r>
      <w:r w:rsidRPr="002B7F32">
        <w:rPr>
          <w:vertAlign w:val="subscript"/>
        </w:rPr>
        <w:t>2</w:t>
      </w:r>
      <w:r w:rsidRPr="00B102A2">
        <w:t>. F</w:t>
      </w:r>
      <w:r w:rsidRPr="002B7F32">
        <w:rPr>
          <w:vertAlign w:val="subscript"/>
        </w:rPr>
        <w:t>1</w:t>
      </w:r>
      <w:r w:rsidRPr="00B102A2">
        <w:t xml:space="preserve"> and F</w:t>
      </w:r>
      <w:r w:rsidRPr="002B7F32">
        <w:rPr>
          <w:vertAlign w:val="subscript"/>
        </w:rPr>
        <w:t>2</w:t>
      </w:r>
      <w:r w:rsidRPr="00B102A2">
        <w:t xml:space="preserve"> are used as manipulated variables</w:t>
      </w:r>
      <w:r>
        <w:t xml:space="preserve"> (MVs)</w:t>
      </w:r>
      <w:r w:rsidRPr="00B102A2">
        <w:t xml:space="preserve"> to control L</w:t>
      </w:r>
      <w:r w:rsidRPr="000A6A9C">
        <w:rPr>
          <w:vertAlign w:val="subscript"/>
        </w:rPr>
        <w:t>1</w:t>
      </w:r>
      <w:r w:rsidRPr="00B102A2">
        <w:t xml:space="preserve"> and L</w:t>
      </w:r>
      <w:r w:rsidRPr="000A6A9C">
        <w:rPr>
          <w:vertAlign w:val="subscript"/>
        </w:rPr>
        <w:t>2</w:t>
      </w:r>
      <w:r w:rsidRPr="00B102A2">
        <w:t xml:space="preserve"> respectively. F</w:t>
      </w:r>
      <w:r w:rsidRPr="000A6A9C">
        <w:rPr>
          <w:vertAlign w:val="subscript"/>
        </w:rPr>
        <w:t>3</w:t>
      </w:r>
      <w:r w:rsidRPr="00B102A2">
        <w:t xml:space="preserve"> and F</w:t>
      </w:r>
      <w:r w:rsidRPr="000A6A9C">
        <w:rPr>
          <w:vertAlign w:val="subscript"/>
        </w:rPr>
        <w:t>4</w:t>
      </w:r>
      <w:r w:rsidRPr="00B102A2">
        <w:t xml:space="preserve"> are used as </w:t>
      </w:r>
      <w:r>
        <w:t>MVs</w:t>
      </w:r>
      <w:r w:rsidRPr="00B102A2">
        <w:t xml:space="preserve"> to control T</w:t>
      </w:r>
      <w:r w:rsidRPr="000A6A9C">
        <w:rPr>
          <w:vertAlign w:val="subscript"/>
        </w:rPr>
        <w:t>1</w:t>
      </w:r>
      <w:r w:rsidRPr="00B102A2">
        <w:t xml:space="preserve"> and T</w:t>
      </w:r>
      <w:r w:rsidRPr="000A6A9C">
        <w:rPr>
          <w:vertAlign w:val="subscript"/>
        </w:rPr>
        <w:t>2</w:t>
      </w:r>
      <w:r w:rsidRPr="00B102A2">
        <w:t xml:space="preserve"> respec</w:t>
      </w:r>
      <w:r>
        <w:t>t</w:t>
      </w:r>
      <w:r w:rsidRPr="00B102A2">
        <w:t>ively.</w:t>
      </w:r>
      <w:r>
        <w:t xml:space="preserve"> The controllers used are simple proportional integral derivative (PID) controllers that change the values of the MVs according to the deviation of the controlled variables (CVs) from their set-points (SPs).</w:t>
      </w:r>
    </w:p>
    <w:p w:rsidR="008635E3" w:rsidRDefault="008635E3" w:rsidP="008635E3"/>
    <w:p w:rsidR="008635E3" w:rsidRPr="000507AF" w:rsidRDefault="008635E3" w:rsidP="008635E3"/>
    <w:p w:rsidR="008635E3" w:rsidRPr="000507AF" w:rsidRDefault="008635E3" w:rsidP="008635E3"/>
    <w:p w:rsidR="008635E3" w:rsidRPr="000507AF" w:rsidRDefault="008635E3" w:rsidP="008635E3"/>
    <w:p w:rsidR="008635E3" w:rsidRDefault="008635E3" w:rsidP="008635E3"/>
    <w:p w:rsidR="008635E3" w:rsidRPr="000507AF" w:rsidRDefault="008635E3" w:rsidP="008635E3">
      <w:pPr>
        <w:tabs>
          <w:tab w:val="left" w:pos="2544"/>
        </w:tabs>
      </w:pPr>
      <w:r>
        <w:tab/>
      </w:r>
    </w:p>
    <w:p w:rsidR="00733FF1" w:rsidRDefault="008635E3" w:rsidP="00733FF1">
      <w:pPr>
        <w:keepNext/>
        <w:jc w:val="center"/>
      </w:pPr>
      <w:r>
        <w:rPr>
          <w:noProof/>
          <w:lang w:eastAsia="en-ZA"/>
        </w:rPr>
        <w:lastRenderedPageBreak/>
        <w:drawing>
          <wp:inline distT="0" distB="0" distL="0" distR="0" wp14:anchorId="59C139B2" wp14:editId="64CF4DB5">
            <wp:extent cx="5200295" cy="8397240"/>
            <wp:effectExtent l="0" t="0" r="63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ank.tif"/>
                    <pic:cNvPicPr/>
                  </pic:nvPicPr>
                  <pic:blipFill>
                    <a:blip r:embed="rId8">
                      <a:extLst>
                        <a:ext uri="{28A0092B-C50C-407E-A947-70E740481C1C}">
                          <a14:useLocalDpi xmlns:a14="http://schemas.microsoft.com/office/drawing/2010/main" val="0"/>
                        </a:ext>
                      </a:extLst>
                    </a:blip>
                    <a:stretch>
                      <a:fillRect/>
                    </a:stretch>
                  </pic:blipFill>
                  <pic:spPr>
                    <a:xfrm>
                      <a:off x="0" y="0"/>
                      <a:ext cx="5213115" cy="8417942"/>
                    </a:xfrm>
                    <a:prstGeom prst="rect">
                      <a:avLst/>
                    </a:prstGeom>
                  </pic:spPr>
                </pic:pic>
              </a:graphicData>
            </a:graphic>
          </wp:inline>
        </w:drawing>
      </w:r>
    </w:p>
    <w:p w:rsidR="008635E3" w:rsidRDefault="00733FF1" w:rsidP="00733FF1">
      <w:pPr>
        <w:pStyle w:val="Caption"/>
      </w:pPr>
      <w:bookmarkStart w:id="10" w:name="_Ref404926651"/>
      <w:r>
        <w:t xml:space="preserve">Figure </w:t>
      </w:r>
      <w:r w:rsidR="00BC36D8">
        <w:fldChar w:fldCharType="begin"/>
      </w:r>
      <w:r w:rsidR="00BC36D8">
        <w:instrText xml:space="preserve"> SEQ Figure \* ARABIC </w:instrText>
      </w:r>
      <w:r w:rsidR="00BC36D8">
        <w:fldChar w:fldCharType="separate"/>
      </w:r>
      <w:r w:rsidR="00A85791">
        <w:rPr>
          <w:noProof/>
        </w:rPr>
        <w:t>1</w:t>
      </w:r>
      <w:r w:rsidR="00BC36D8">
        <w:rPr>
          <w:noProof/>
        </w:rPr>
        <w:fldChar w:fldCharType="end"/>
      </w:r>
      <w:bookmarkEnd w:id="10"/>
      <w:r w:rsidRPr="00B102A2">
        <w:t xml:space="preserve">: Diagram of two-tank example </w:t>
      </w:r>
      <w:r w:rsidRPr="00CF0D77">
        <w:t>system</w:t>
      </w:r>
    </w:p>
    <w:p w:rsidR="008635E3" w:rsidRDefault="008635E3" w:rsidP="008635E3">
      <w:r>
        <w:lastRenderedPageBreak/>
        <w:t>The measurements obtained from real-life processes such as this would typically display significant amounts of random noise generated by sensors or just normal fluctuations in the values of the properties being measured.</w:t>
      </w:r>
    </w:p>
    <w:p w:rsidR="008635E3" w:rsidRPr="006167F1" w:rsidRDefault="008635E3" w:rsidP="008635E3">
      <w:r>
        <w:t>The steady state values for variables in the process are given in</w:t>
      </w:r>
      <w:r w:rsidR="00733FF1">
        <w:t xml:space="preserve"> </w:t>
      </w:r>
      <w:r w:rsidR="00733FF1">
        <w:fldChar w:fldCharType="begin"/>
      </w:r>
      <w:r w:rsidR="00733FF1">
        <w:instrText xml:space="preserve"> REF _Ref404926686 \h </w:instrText>
      </w:r>
      <w:r w:rsidR="00733FF1">
        <w:fldChar w:fldCharType="separate"/>
      </w:r>
      <w:r w:rsidR="00A85791">
        <w:t xml:space="preserve">Table </w:t>
      </w:r>
      <w:r w:rsidR="00A85791">
        <w:rPr>
          <w:noProof/>
        </w:rPr>
        <w:t>1</w:t>
      </w:r>
      <w:r w:rsidR="00733FF1">
        <w:fldChar w:fldCharType="end"/>
      </w:r>
      <w:r>
        <w:t>. The steady state values for the CVs, L</w:t>
      </w:r>
      <w:r>
        <w:rPr>
          <w:vertAlign w:val="subscript"/>
        </w:rPr>
        <w:t>1</w:t>
      </w:r>
      <w:r>
        <w:t>, L</w:t>
      </w:r>
      <w:r>
        <w:rPr>
          <w:vertAlign w:val="subscript"/>
        </w:rPr>
        <w:t>2</w:t>
      </w:r>
      <w:r>
        <w:t>, T</w:t>
      </w:r>
      <w:r>
        <w:rPr>
          <w:vertAlign w:val="subscript"/>
        </w:rPr>
        <w:t>1</w:t>
      </w:r>
      <w:r>
        <w:t xml:space="preserve"> and T</w:t>
      </w:r>
      <w:r>
        <w:softHyphen/>
      </w:r>
      <w:r>
        <w:rPr>
          <w:vertAlign w:val="subscript"/>
        </w:rPr>
        <w:t>2</w:t>
      </w:r>
      <w:r>
        <w:t>, are also their set-point values.</w:t>
      </w:r>
    </w:p>
    <w:p w:rsidR="00733FF1" w:rsidRDefault="00733FF1" w:rsidP="00733FF1">
      <w:pPr>
        <w:pStyle w:val="Caption"/>
      </w:pPr>
      <w:bookmarkStart w:id="11" w:name="_Ref404926686"/>
      <w:r>
        <w:t xml:space="preserve">Table </w:t>
      </w:r>
      <w:r w:rsidR="00BC36D8">
        <w:fldChar w:fldCharType="begin"/>
      </w:r>
      <w:r w:rsidR="00BC36D8">
        <w:instrText xml:space="preserve"> SEQ Table \* ARABIC </w:instrText>
      </w:r>
      <w:r w:rsidR="00BC36D8">
        <w:fldChar w:fldCharType="separate"/>
      </w:r>
      <w:r w:rsidR="00A85791">
        <w:rPr>
          <w:noProof/>
        </w:rPr>
        <w:t>1</w:t>
      </w:r>
      <w:r w:rsidR="00BC36D8">
        <w:rPr>
          <w:noProof/>
        </w:rPr>
        <w:fldChar w:fldCharType="end"/>
      </w:r>
      <w:bookmarkEnd w:id="11"/>
      <w:r>
        <w:t>: Steady state values for two-tank model</w:t>
      </w:r>
    </w:p>
    <w:tbl>
      <w:tblPr>
        <w:tblStyle w:val="LightGrid"/>
        <w:tblW w:w="3009" w:type="dxa"/>
        <w:jc w:val="center"/>
        <w:tblLook w:val="04A0" w:firstRow="1" w:lastRow="0" w:firstColumn="1" w:lastColumn="0" w:noHBand="0" w:noVBand="1"/>
      </w:tblPr>
      <w:tblGrid>
        <w:gridCol w:w="1008"/>
        <w:gridCol w:w="976"/>
        <w:gridCol w:w="1025"/>
      </w:tblGrid>
      <w:tr w:rsidR="008635E3" w:rsidRPr="006167F1" w:rsidTr="009F3E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Pr>
                <w:rFonts w:eastAsia="Times New Roman"/>
              </w:rPr>
              <w:t>Variable</w:t>
            </w:r>
          </w:p>
        </w:tc>
        <w:tc>
          <w:tcPr>
            <w:tcW w:w="976" w:type="dxa"/>
            <w:noWrap/>
            <w:hideMark/>
          </w:tcPr>
          <w:p w:rsidR="008635E3" w:rsidRPr="006167F1" w:rsidRDefault="008635E3" w:rsidP="009F3E56">
            <w:pPr>
              <w:pStyle w:val="TableSpace"/>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Value</w:t>
            </w:r>
          </w:p>
        </w:tc>
        <w:tc>
          <w:tcPr>
            <w:tcW w:w="1025" w:type="dxa"/>
          </w:tcPr>
          <w:p w:rsidR="008635E3" w:rsidRPr="006167F1" w:rsidRDefault="008635E3" w:rsidP="009F3E56">
            <w:pPr>
              <w:pStyle w:val="TableSpace"/>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Units</w:t>
            </w:r>
          </w:p>
        </w:tc>
      </w:tr>
      <w:tr w:rsidR="008635E3" w:rsidRPr="006167F1" w:rsidTr="009F3E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L</w:t>
            </w:r>
            <w:r w:rsidRPr="006167F1">
              <w:rPr>
                <w:rFonts w:eastAsia="Times New Roman"/>
                <w:vertAlign w:val="subscript"/>
              </w:rPr>
              <w:t>1</w:t>
            </w:r>
          </w:p>
        </w:tc>
        <w:tc>
          <w:tcPr>
            <w:tcW w:w="976" w:type="dxa"/>
            <w:noWrap/>
            <w:hideMark/>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2.00</w:t>
            </w:r>
          </w:p>
        </w:tc>
        <w:tc>
          <w:tcPr>
            <w:tcW w:w="1025"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p>
        </w:tc>
      </w:tr>
      <w:tr w:rsidR="008635E3" w:rsidRPr="006167F1" w:rsidTr="009F3E5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L</w:t>
            </w:r>
            <w:r w:rsidRPr="006167F1">
              <w:rPr>
                <w:rFonts w:eastAsia="Times New Roman"/>
                <w:vertAlign w:val="subscript"/>
              </w:rPr>
              <w:t>2</w:t>
            </w:r>
          </w:p>
        </w:tc>
        <w:tc>
          <w:tcPr>
            <w:tcW w:w="976" w:type="dxa"/>
            <w:noWrap/>
            <w:hideMark/>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3.00</w:t>
            </w:r>
          </w:p>
        </w:tc>
        <w:tc>
          <w:tcPr>
            <w:tcW w:w="1025"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[m]</w:t>
            </w:r>
          </w:p>
        </w:tc>
      </w:tr>
      <w:tr w:rsidR="008635E3" w:rsidRPr="006167F1" w:rsidTr="009F3E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T</w:t>
            </w:r>
            <w:r w:rsidRPr="006167F1">
              <w:rPr>
                <w:rFonts w:eastAsia="Times New Roman"/>
                <w:vertAlign w:val="subscript"/>
              </w:rPr>
              <w:t>1</w:t>
            </w:r>
          </w:p>
        </w:tc>
        <w:tc>
          <w:tcPr>
            <w:tcW w:w="976" w:type="dxa"/>
            <w:noWrap/>
            <w:hideMark/>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50.0</w:t>
            </w:r>
          </w:p>
        </w:tc>
        <w:tc>
          <w:tcPr>
            <w:tcW w:w="1025"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[°C]</w:t>
            </w:r>
          </w:p>
        </w:tc>
      </w:tr>
      <w:tr w:rsidR="008635E3" w:rsidRPr="006167F1" w:rsidTr="009F3E5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T</w:t>
            </w:r>
            <w:r w:rsidRPr="006167F1">
              <w:rPr>
                <w:rFonts w:eastAsia="Times New Roman"/>
                <w:vertAlign w:val="subscript"/>
              </w:rPr>
              <w:t>2</w:t>
            </w:r>
          </w:p>
        </w:tc>
        <w:tc>
          <w:tcPr>
            <w:tcW w:w="976" w:type="dxa"/>
            <w:noWrap/>
            <w:hideMark/>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50.0</w:t>
            </w:r>
          </w:p>
        </w:tc>
        <w:tc>
          <w:tcPr>
            <w:tcW w:w="1025"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[°C]</w:t>
            </w:r>
          </w:p>
        </w:tc>
      </w:tr>
      <w:tr w:rsidR="008635E3" w:rsidRPr="006167F1" w:rsidTr="009F3E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T</w:t>
            </w:r>
            <w:r w:rsidRPr="006167F1">
              <w:rPr>
                <w:rFonts w:eastAsia="Times New Roman"/>
                <w:vertAlign w:val="subscript"/>
              </w:rPr>
              <w:t>1</w:t>
            </w:r>
            <w:r>
              <w:rPr>
                <w:rFonts w:eastAsia="Times New Roman"/>
                <w:vertAlign w:val="subscript"/>
              </w:rPr>
              <w:t>,</w:t>
            </w:r>
            <w:r w:rsidRPr="006167F1">
              <w:rPr>
                <w:rFonts w:eastAsia="Times New Roman"/>
                <w:vertAlign w:val="subscript"/>
              </w:rPr>
              <w:t>in</w:t>
            </w:r>
          </w:p>
        </w:tc>
        <w:tc>
          <w:tcPr>
            <w:tcW w:w="976" w:type="dxa"/>
            <w:noWrap/>
            <w:hideMark/>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25.0</w:t>
            </w:r>
          </w:p>
        </w:tc>
        <w:tc>
          <w:tcPr>
            <w:tcW w:w="1025"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[°C]</w:t>
            </w:r>
          </w:p>
        </w:tc>
      </w:tr>
      <w:tr w:rsidR="008635E3" w:rsidRPr="006167F1" w:rsidTr="009F3E5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T</w:t>
            </w:r>
            <w:r w:rsidRPr="006167F1">
              <w:rPr>
                <w:rFonts w:eastAsia="Times New Roman"/>
                <w:vertAlign w:val="subscript"/>
              </w:rPr>
              <w:t>2</w:t>
            </w:r>
            <w:r>
              <w:rPr>
                <w:rFonts w:eastAsia="Times New Roman"/>
                <w:vertAlign w:val="subscript"/>
              </w:rPr>
              <w:t>,</w:t>
            </w:r>
            <w:r w:rsidRPr="006167F1">
              <w:rPr>
                <w:rFonts w:eastAsia="Times New Roman"/>
                <w:vertAlign w:val="subscript"/>
              </w:rPr>
              <w:t>in</w:t>
            </w:r>
          </w:p>
        </w:tc>
        <w:tc>
          <w:tcPr>
            <w:tcW w:w="976" w:type="dxa"/>
            <w:noWrap/>
            <w:hideMark/>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25.0</w:t>
            </w:r>
          </w:p>
        </w:tc>
        <w:tc>
          <w:tcPr>
            <w:tcW w:w="1025"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[°C]</w:t>
            </w:r>
          </w:p>
        </w:tc>
      </w:tr>
      <w:tr w:rsidR="008635E3" w:rsidRPr="006167F1" w:rsidTr="009F3E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T</w:t>
            </w:r>
            <w:r w:rsidRPr="006167F1">
              <w:rPr>
                <w:rFonts w:eastAsia="Times New Roman"/>
                <w:vertAlign w:val="subscript"/>
              </w:rPr>
              <w:t>3</w:t>
            </w:r>
          </w:p>
        </w:tc>
        <w:tc>
          <w:tcPr>
            <w:tcW w:w="976" w:type="dxa"/>
            <w:noWrap/>
            <w:hideMark/>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100</w:t>
            </w:r>
          </w:p>
        </w:tc>
        <w:tc>
          <w:tcPr>
            <w:tcW w:w="1025"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[°C]</w:t>
            </w:r>
          </w:p>
        </w:tc>
      </w:tr>
      <w:tr w:rsidR="008635E3" w:rsidRPr="006167F1" w:rsidTr="009F3E5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T</w:t>
            </w:r>
            <w:r w:rsidRPr="006167F1">
              <w:rPr>
                <w:rFonts w:eastAsia="Times New Roman"/>
                <w:vertAlign w:val="subscript"/>
              </w:rPr>
              <w:t>4</w:t>
            </w:r>
          </w:p>
        </w:tc>
        <w:tc>
          <w:tcPr>
            <w:tcW w:w="976" w:type="dxa"/>
            <w:noWrap/>
            <w:hideMark/>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100</w:t>
            </w:r>
          </w:p>
        </w:tc>
        <w:tc>
          <w:tcPr>
            <w:tcW w:w="1025"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[°C]</w:t>
            </w:r>
          </w:p>
        </w:tc>
      </w:tr>
      <w:tr w:rsidR="008635E3" w:rsidRPr="006167F1" w:rsidTr="009F3E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F</w:t>
            </w:r>
            <w:r w:rsidRPr="006167F1">
              <w:rPr>
                <w:rFonts w:eastAsia="Times New Roman"/>
                <w:vertAlign w:val="subscript"/>
              </w:rPr>
              <w:t>1</w:t>
            </w:r>
          </w:p>
        </w:tc>
        <w:tc>
          <w:tcPr>
            <w:tcW w:w="976" w:type="dxa"/>
            <w:noWrap/>
            <w:hideMark/>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0.181</w:t>
            </w:r>
          </w:p>
        </w:tc>
        <w:tc>
          <w:tcPr>
            <w:tcW w:w="1025"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r>
              <w:rPr>
                <w:vertAlign w:val="superscript"/>
              </w:rPr>
              <w:t>3</w:t>
            </w:r>
            <w:r>
              <w:t>/min]</w:t>
            </w:r>
          </w:p>
        </w:tc>
      </w:tr>
      <w:tr w:rsidR="008635E3" w:rsidRPr="006167F1" w:rsidTr="009F3E5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F</w:t>
            </w:r>
            <w:r w:rsidRPr="006167F1">
              <w:rPr>
                <w:rFonts w:eastAsia="Times New Roman"/>
                <w:vertAlign w:val="subscript"/>
              </w:rPr>
              <w:t>2</w:t>
            </w:r>
          </w:p>
        </w:tc>
        <w:tc>
          <w:tcPr>
            <w:tcW w:w="976" w:type="dxa"/>
            <w:noWrap/>
            <w:hideMark/>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0.0408</w:t>
            </w:r>
          </w:p>
        </w:tc>
        <w:tc>
          <w:tcPr>
            <w:tcW w:w="1025"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[m</w:t>
            </w:r>
            <w:r>
              <w:rPr>
                <w:vertAlign w:val="superscript"/>
              </w:rPr>
              <w:t>3</w:t>
            </w:r>
            <w:r>
              <w:t>/min]</w:t>
            </w:r>
          </w:p>
        </w:tc>
      </w:tr>
      <w:tr w:rsidR="008635E3" w:rsidRPr="006167F1" w:rsidTr="009F3E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F</w:t>
            </w:r>
            <w:r w:rsidRPr="006167F1">
              <w:rPr>
                <w:rFonts w:eastAsia="Times New Roman"/>
                <w:vertAlign w:val="subscript"/>
              </w:rPr>
              <w:t>3</w:t>
            </w:r>
          </w:p>
        </w:tc>
        <w:tc>
          <w:tcPr>
            <w:tcW w:w="976" w:type="dxa"/>
            <w:noWrap/>
            <w:hideMark/>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0.5</w:t>
            </w:r>
          </w:p>
        </w:tc>
        <w:tc>
          <w:tcPr>
            <w:tcW w:w="1025"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r>
              <w:rPr>
                <w:vertAlign w:val="superscript"/>
              </w:rPr>
              <w:t>3</w:t>
            </w:r>
            <w:r>
              <w:t>/min]</w:t>
            </w:r>
          </w:p>
        </w:tc>
      </w:tr>
      <w:tr w:rsidR="008635E3" w:rsidRPr="006167F1" w:rsidTr="009F3E5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F</w:t>
            </w:r>
            <w:r w:rsidRPr="006167F1">
              <w:rPr>
                <w:rFonts w:eastAsia="Times New Roman"/>
                <w:vertAlign w:val="subscript"/>
              </w:rPr>
              <w:t>4</w:t>
            </w:r>
          </w:p>
        </w:tc>
        <w:tc>
          <w:tcPr>
            <w:tcW w:w="976" w:type="dxa"/>
            <w:noWrap/>
            <w:hideMark/>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0.04</w:t>
            </w:r>
          </w:p>
        </w:tc>
        <w:tc>
          <w:tcPr>
            <w:tcW w:w="1025"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[m</w:t>
            </w:r>
            <w:r>
              <w:rPr>
                <w:vertAlign w:val="superscript"/>
              </w:rPr>
              <w:t>3</w:t>
            </w:r>
            <w:r>
              <w:t>/min]</w:t>
            </w:r>
          </w:p>
        </w:tc>
      </w:tr>
      <w:tr w:rsidR="008635E3" w:rsidRPr="006167F1" w:rsidTr="009F3E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F1out</w:t>
            </w:r>
          </w:p>
        </w:tc>
        <w:tc>
          <w:tcPr>
            <w:tcW w:w="976" w:type="dxa"/>
            <w:noWrap/>
            <w:hideMark/>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0.191</w:t>
            </w:r>
          </w:p>
        </w:tc>
        <w:tc>
          <w:tcPr>
            <w:tcW w:w="1025"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r>
              <w:rPr>
                <w:vertAlign w:val="superscript"/>
              </w:rPr>
              <w:t>3</w:t>
            </w:r>
            <w:r>
              <w:t>/min]</w:t>
            </w:r>
          </w:p>
        </w:tc>
      </w:tr>
      <w:tr w:rsidR="008635E3" w:rsidRPr="006167F1" w:rsidTr="009F3E5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8635E3" w:rsidRPr="006167F1" w:rsidRDefault="008635E3" w:rsidP="009F3E56">
            <w:pPr>
              <w:pStyle w:val="TableSpace"/>
              <w:rPr>
                <w:rFonts w:eastAsia="Times New Roman"/>
              </w:rPr>
            </w:pPr>
            <w:r w:rsidRPr="006167F1">
              <w:rPr>
                <w:rFonts w:eastAsia="Times New Roman"/>
              </w:rPr>
              <w:t>F2out</w:t>
            </w:r>
          </w:p>
        </w:tc>
        <w:tc>
          <w:tcPr>
            <w:tcW w:w="976" w:type="dxa"/>
            <w:noWrap/>
            <w:hideMark/>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0.222</w:t>
            </w:r>
          </w:p>
        </w:tc>
        <w:tc>
          <w:tcPr>
            <w:tcW w:w="1025"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[m</w:t>
            </w:r>
            <w:r>
              <w:rPr>
                <w:vertAlign w:val="superscript"/>
              </w:rPr>
              <w:t>3</w:t>
            </w:r>
            <w:r>
              <w:t>/min]</w:t>
            </w:r>
          </w:p>
        </w:tc>
      </w:tr>
    </w:tbl>
    <w:p w:rsidR="008635E3" w:rsidRPr="006167F1" w:rsidRDefault="008635E3" w:rsidP="008635E3">
      <w:r>
        <w:t xml:space="preserve">The values of the parameters used in the model are given in </w:t>
      </w:r>
      <w:r w:rsidR="00733FF1">
        <w:fldChar w:fldCharType="begin"/>
      </w:r>
      <w:r w:rsidR="00733FF1">
        <w:instrText xml:space="preserve"> REF _Ref404926725 \h </w:instrText>
      </w:r>
      <w:r w:rsidR="00733FF1">
        <w:fldChar w:fldCharType="separate"/>
      </w:r>
      <w:r w:rsidR="00A85791">
        <w:t xml:space="preserve">Table </w:t>
      </w:r>
      <w:r w:rsidR="00A85791">
        <w:rPr>
          <w:noProof/>
        </w:rPr>
        <w:t>2</w:t>
      </w:r>
      <w:r w:rsidR="00733FF1">
        <w:fldChar w:fldCharType="end"/>
      </w:r>
      <w:r>
        <w:t>. The value for the proportionality constant relating the underflow to the level, K</w:t>
      </w:r>
      <w:r>
        <w:rPr>
          <w:vertAlign w:val="subscript"/>
        </w:rPr>
        <w:t>L</w:t>
      </w:r>
      <w:r>
        <w:t xml:space="preserve">, was determined by substituting steady-state values into </w:t>
      </w:r>
      <w:r>
        <w:fldChar w:fldCharType="begin"/>
      </w:r>
      <w:r>
        <w:instrText xml:space="preserve"> REF _Ref339519213 \h </w:instrText>
      </w:r>
      <w:r>
        <w:fldChar w:fldCharType="separate"/>
      </w:r>
      <w:r w:rsidR="00A85791">
        <w:t xml:space="preserve">Equation </w:t>
      </w:r>
      <w:r w:rsidR="00A85791">
        <w:rPr>
          <w:noProof/>
        </w:rPr>
        <w:t>4</w:t>
      </w:r>
      <w:r>
        <w:fldChar w:fldCharType="end"/>
      </w:r>
      <w:r>
        <w:t xml:space="preserve"> and solving for K</w:t>
      </w:r>
      <w:r>
        <w:rPr>
          <w:vertAlign w:val="subscript"/>
        </w:rPr>
        <w:t>L</w:t>
      </w:r>
      <w:r>
        <w:t xml:space="preserve"> (at steady state the differential term is 0). The valve constant for each control valve was simply chosen so that the steady state value of the flow rate being controlled by the valve corresponded to a valve position of 50%.</w:t>
      </w:r>
    </w:p>
    <w:p w:rsidR="00733FF1" w:rsidRDefault="00733FF1" w:rsidP="00733FF1">
      <w:pPr>
        <w:pStyle w:val="Caption"/>
      </w:pPr>
      <w:bookmarkStart w:id="12" w:name="_Ref404926725"/>
      <w:r>
        <w:lastRenderedPageBreak/>
        <w:t xml:space="preserve">Table </w:t>
      </w:r>
      <w:r w:rsidR="00BC36D8">
        <w:fldChar w:fldCharType="begin"/>
      </w:r>
      <w:r w:rsidR="00BC36D8">
        <w:instrText xml:space="preserve"> SEQ Table \* ARABIC </w:instrText>
      </w:r>
      <w:r w:rsidR="00BC36D8">
        <w:fldChar w:fldCharType="separate"/>
      </w:r>
      <w:r w:rsidR="00A85791">
        <w:rPr>
          <w:noProof/>
        </w:rPr>
        <w:t>2</w:t>
      </w:r>
      <w:r w:rsidR="00BC36D8">
        <w:rPr>
          <w:noProof/>
        </w:rPr>
        <w:fldChar w:fldCharType="end"/>
      </w:r>
      <w:bookmarkEnd w:id="12"/>
      <w:r>
        <w:t>: Parameters used in model of two-tank system</w:t>
      </w:r>
    </w:p>
    <w:tbl>
      <w:tblPr>
        <w:tblStyle w:val="LightGrid"/>
        <w:tblW w:w="9760" w:type="dxa"/>
        <w:tblLook w:val="04A0" w:firstRow="1" w:lastRow="0" w:firstColumn="1" w:lastColumn="0" w:noHBand="0" w:noVBand="1"/>
      </w:tblPr>
      <w:tblGrid>
        <w:gridCol w:w="2381"/>
        <w:gridCol w:w="2617"/>
        <w:gridCol w:w="2381"/>
        <w:gridCol w:w="2381"/>
      </w:tblGrid>
      <w:tr w:rsidR="008635E3" w:rsidRPr="00B102A2" w:rsidTr="009F3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B102A2" w:rsidRDefault="008635E3" w:rsidP="009F3E56">
            <w:pPr>
              <w:pStyle w:val="TableSpace"/>
            </w:pPr>
            <w:r w:rsidRPr="00B102A2">
              <w:t>Parameter</w:t>
            </w:r>
          </w:p>
        </w:tc>
        <w:tc>
          <w:tcPr>
            <w:tcW w:w="2617" w:type="dxa"/>
          </w:tcPr>
          <w:p w:rsidR="008635E3" w:rsidRPr="00B102A2" w:rsidRDefault="008635E3" w:rsidP="009F3E56">
            <w:pPr>
              <w:pStyle w:val="TableSpace"/>
              <w:cnfStyle w:val="100000000000" w:firstRow="1" w:lastRow="0" w:firstColumn="0" w:lastColumn="0" w:oddVBand="0" w:evenVBand="0" w:oddHBand="0" w:evenHBand="0" w:firstRowFirstColumn="0" w:firstRowLastColumn="0" w:lastRowFirstColumn="0" w:lastRowLastColumn="0"/>
            </w:pPr>
            <w:r>
              <w:t>Description</w:t>
            </w:r>
          </w:p>
        </w:tc>
        <w:tc>
          <w:tcPr>
            <w:tcW w:w="2381" w:type="dxa"/>
          </w:tcPr>
          <w:p w:rsidR="008635E3" w:rsidRPr="00B102A2" w:rsidRDefault="008635E3" w:rsidP="009F3E56">
            <w:pPr>
              <w:pStyle w:val="TableSpace"/>
              <w:cnfStyle w:val="100000000000" w:firstRow="1" w:lastRow="0" w:firstColumn="0" w:lastColumn="0" w:oddVBand="0" w:evenVBand="0" w:oddHBand="0" w:evenHBand="0" w:firstRowFirstColumn="0" w:firstRowLastColumn="0" w:lastRowFirstColumn="0" w:lastRowLastColumn="0"/>
            </w:pPr>
            <w:r w:rsidRPr="00B102A2">
              <w:t>Value</w:t>
            </w:r>
          </w:p>
        </w:tc>
        <w:tc>
          <w:tcPr>
            <w:tcW w:w="2381" w:type="dxa"/>
          </w:tcPr>
          <w:p w:rsidR="008635E3" w:rsidRPr="00B102A2" w:rsidRDefault="008635E3" w:rsidP="009F3E56">
            <w:pPr>
              <w:pStyle w:val="TableSpace"/>
              <w:cnfStyle w:val="100000000000" w:firstRow="1" w:lastRow="0" w:firstColumn="0" w:lastColumn="0" w:oddVBand="0" w:evenVBand="0" w:oddHBand="0" w:evenHBand="0" w:firstRowFirstColumn="0" w:firstRowLastColumn="0" w:lastRowFirstColumn="0" w:lastRowLastColumn="0"/>
            </w:pPr>
            <w:r w:rsidRPr="00B102A2">
              <w:t>Units</w:t>
            </w:r>
          </w:p>
        </w:tc>
      </w:tr>
      <w:tr w:rsidR="008635E3" w:rsidRPr="00B102A2" w:rsidTr="009F3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B102A2" w:rsidRDefault="008635E3" w:rsidP="009F3E56">
            <w:pPr>
              <w:pStyle w:val="TableSpace"/>
            </w:pPr>
            <w:proofErr w:type="spellStart"/>
            <w:r>
              <w:t>aHeat</w:t>
            </w:r>
            <w:proofErr w:type="spellEnd"/>
          </w:p>
        </w:tc>
        <w:tc>
          <w:tcPr>
            <w:tcW w:w="2617" w:type="dxa"/>
          </w:tcPr>
          <w:p w:rsidR="008635E3"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Constant for heat transfer coefficient calculation</w:t>
            </w:r>
          </w:p>
        </w:tc>
        <w:tc>
          <w:tcPr>
            <w:tcW w:w="2381" w:type="dxa"/>
          </w:tcPr>
          <w:p w:rsidR="008635E3" w:rsidRPr="006F358A"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1.41(10</w:t>
            </w:r>
            <w:r>
              <w:rPr>
                <w:vertAlign w:val="superscript"/>
              </w:rPr>
              <w:t>5</w:t>
            </w:r>
            <w:r>
              <w:t>)</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w:t>
            </w:r>
            <w:proofErr w:type="spellStart"/>
            <w:r>
              <w:t>cal</w:t>
            </w:r>
            <w:proofErr w:type="spellEnd"/>
            <w:r>
              <w:t>/(</w:t>
            </w:r>
            <w:proofErr w:type="spellStart"/>
            <w:r>
              <w:t>min</w:t>
            </w:r>
            <w:r>
              <w:rPr>
                <w:rFonts w:cstheme="minorHAnsi"/>
              </w:rPr>
              <w:t>°C</w:t>
            </w:r>
            <w:proofErr w:type="spellEnd"/>
            <w:r>
              <w:rPr>
                <w:rFonts w:cstheme="minorHAnsi"/>
              </w:rPr>
              <w:t>)</w:t>
            </w:r>
            <w:r>
              <w:t>]</w:t>
            </w:r>
          </w:p>
        </w:tc>
      </w:tr>
      <w:tr w:rsidR="008635E3" w:rsidRPr="00B102A2" w:rsidTr="009F3E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B102A2" w:rsidRDefault="008635E3" w:rsidP="009F3E56">
            <w:pPr>
              <w:pStyle w:val="TableSpace"/>
            </w:pPr>
            <w:r>
              <w:t>b</w:t>
            </w:r>
          </w:p>
        </w:tc>
        <w:tc>
          <w:tcPr>
            <w:tcW w:w="2617" w:type="dxa"/>
          </w:tcPr>
          <w:p w:rsidR="008635E3"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Constant for heat transfer coefficient calculation</w:t>
            </w:r>
          </w:p>
        </w:tc>
        <w:tc>
          <w:tcPr>
            <w:tcW w:w="2381" w:type="dxa"/>
          </w:tcPr>
          <w:p w:rsidR="008635E3" w:rsidRPr="00B102A2"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0.5</w:t>
            </w:r>
          </w:p>
        </w:tc>
        <w:tc>
          <w:tcPr>
            <w:tcW w:w="2381" w:type="dxa"/>
          </w:tcPr>
          <w:p w:rsidR="008635E3" w:rsidRPr="00B102A2"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 ]</w:t>
            </w:r>
          </w:p>
        </w:tc>
      </w:tr>
      <w:tr w:rsidR="008635E3" w:rsidRPr="00B102A2" w:rsidTr="009F3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613E9D" w:rsidRDefault="008635E3" w:rsidP="009F3E56">
            <w:pPr>
              <w:pStyle w:val="TableSpace"/>
            </w:pPr>
            <w:proofErr w:type="spellStart"/>
            <w:r>
              <w:t>C</w:t>
            </w:r>
            <w:r>
              <w:rPr>
                <w:vertAlign w:val="subscript"/>
              </w:rPr>
              <w:t>p</w:t>
            </w:r>
            <w:proofErr w:type="spellEnd"/>
          </w:p>
        </w:tc>
        <w:tc>
          <w:tcPr>
            <w:tcW w:w="2617" w:type="dxa"/>
          </w:tcPr>
          <w:p w:rsidR="008635E3"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Heat capacity of water</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1</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w:t>
            </w:r>
            <w:proofErr w:type="spellStart"/>
            <w:r>
              <w:t>cal</w:t>
            </w:r>
            <w:proofErr w:type="spellEnd"/>
            <w:r>
              <w:t>/(</w:t>
            </w:r>
            <w:proofErr w:type="spellStart"/>
            <w:r>
              <w:t>g</w:t>
            </w:r>
            <w:r>
              <w:rPr>
                <w:rFonts w:cstheme="minorHAnsi"/>
              </w:rPr>
              <w:t>°</w:t>
            </w:r>
            <w:r>
              <w:t>C</w:t>
            </w:r>
            <w:proofErr w:type="spellEnd"/>
            <w:r>
              <w:t>)]</w:t>
            </w:r>
          </w:p>
        </w:tc>
      </w:tr>
      <w:tr w:rsidR="008635E3" w:rsidRPr="00B102A2" w:rsidTr="009F3E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B102A2" w:rsidRDefault="008635E3" w:rsidP="009F3E56">
            <w:pPr>
              <w:pStyle w:val="TableSpace"/>
            </w:pPr>
            <w:r>
              <w:t>ρ</w:t>
            </w:r>
          </w:p>
        </w:tc>
        <w:tc>
          <w:tcPr>
            <w:tcW w:w="2617" w:type="dxa"/>
          </w:tcPr>
          <w:p w:rsidR="008635E3"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Density of water</w:t>
            </w:r>
          </w:p>
        </w:tc>
        <w:tc>
          <w:tcPr>
            <w:tcW w:w="2381" w:type="dxa"/>
          </w:tcPr>
          <w:p w:rsidR="008635E3" w:rsidRPr="00613E9D"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10</w:t>
            </w:r>
            <w:r>
              <w:rPr>
                <w:vertAlign w:val="superscript"/>
              </w:rPr>
              <w:t>6</w:t>
            </w:r>
          </w:p>
        </w:tc>
        <w:tc>
          <w:tcPr>
            <w:tcW w:w="2381" w:type="dxa"/>
          </w:tcPr>
          <w:p w:rsidR="008635E3" w:rsidRPr="00613E9D"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[g/m</w:t>
            </w:r>
            <w:r>
              <w:rPr>
                <w:vertAlign w:val="superscript"/>
              </w:rPr>
              <w:t>3</w:t>
            </w:r>
            <w:r>
              <w:t>]</w:t>
            </w:r>
          </w:p>
        </w:tc>
      </w:tr>
      <w:tr w:rsidR="008635E3" w:rsidRPr="00B102A2" w:rsidTr="009F3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B102A2" w:rsidRDefault="008635E3" w:rsidP="009F3E56">
            <w:pPr>
              <w:pStyle w:val="TableSpace"/>
            </w:pPr>
            <w:r>
              <w:t>A</w:t>
            </w:r>
            <w:r>
              <w:rPr>
                <w:vertAlign w:val="subscript"/>
              </w:rPr>
              <w:t>1</w:t>
            </w:r>
          </w:p>
        </w:tc>
        <w:tc>
          <w:tcPr>
            <w:tcW w:w="2617" w:type="dxa"/>
          </w:tcPr>
          <w:p w:rsidR="008635E3"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Cross-sectional area of tank 1</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1</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r>
              <w:rPr>
                <w:vertAlign w:val="superscript"/>
              </w:rPr>
              <w:t>2</w:t>
            </w:r>
            <w:r>
              <w:t>]</w:t>
            </w:r>
          </w:p>
        </w:tc>
      </w:tr>
      <w:tr w:rsidR="008635E3" w:rsidRPr="00B102A2" w:rsidTr="009F3E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B102A2" w:rsidRDefault="008635E3" w:rsidP="009F3E56">
            <w:pPr>
              <w:pStyle w:val="TableSpace"/>
            </w:pPr>
            <w:r>
              <w:t>A</w:t>
            </w:r>
            <w:r>
              <w:rPr>
                <w:vertAlign w:val="subscript"/>
              </w:rPr>
              <w:t>2</w:t>
            </w:r>
          </w:p>
        </w:tc>
        <w:tc>
          <w:tcPr>
            <w:tcW w:w="2617" w:type="dxa"/>
          </w:tcPr>
          <w:p w:rsidR="008635E3"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Cross-sectional area of tank 2</w:t>
            </w:r>
          </w:p>
        </w:tc>
        <w:tc>
          <w:tcPr>
            <w:tcW w:w="2381" w:type="dxa"/>
          </w:tcPr>
          <w:p w:rsidR="008635E3" w:rsidRPr="00B102A2"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1</w:t>
            </w:r>
          </w:p>
        </w:tc>
        <w:tc>
          <w:tcPr>
            <w:tcW w:w="2381" w:type="dxa"/>
          </w:tcPr>
          <w:p w:rsidR="008635E3" w:rsidRPr="00B102A2"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[m</w:t>
            </w:r>
            <w:r>
              <w:rPr>
                <w:vertAlign w:val="superscript"/>
              </w:rPr>
              <w:t>2</w:t>
            </w:r>
            <w:r>
              <w:t>]</w:t>
            </w:r>
          </w:p>
        </w:tc>
      </w:tr>
      <w:tr w:rsidR="008635E3" w:rsidRPr="00B102A2" w:rsidTr="009F3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6F358A" w:rsidRDefault="008635E3" w:rsidP="009F3E56">
            <w:pPr>
              <w:pStyle w:val="TableSpace"/>
              <w:rPr>
                <w:vertAlign w:val="subscript"/>
              </w:rPr>
            </w:pPr>
            <w:proofErr w:type="spellStart"/>
            <w:r>
              <w:t>k</w:t>
            </w:r>
            <w:r>
              <w:rPr>
                <w:vertAlign w:val="subscript"/>
              </w:rPr>
              <w:t>L</w:t>
            </w:r>
            <w:proofErr w:type="spellEnd"/>
          </w:p>
        </w:tc>
        <w:tc>
          <w:tcPr>
            <w:tcW w:w="2617" w:type="dxa"/>
          </w:tcPr>
          <w:p w:rsidR="008635E3"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Level constant</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0.128</w:t>
            </w:r>
          </w:p>
        </w:tc>
        <w:tc>
          <w:tcPr>
            <w:tcW w:w="2381"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r>
              <w:rPr>
                <w:vertAlign w:val="superscript"/>
              </w:rPr>
              <w:t>3</w:t>
            </w:r>
            <w:r>
              <w:t>/min/m</w:t>
            </w:r>
            <w:r>
              <w:rPr>
                <w:vertAlign w:val="superscript"/>
              </w:rPr>
              <w:t>0.5</w:t>
            </w:r>
            <w:r>
              <w:t>]</w:t>
            </w:r>
          </w:p>
        </w:tc>
      </w:tr>
      <w:tr w:rsidR="008635E3" w:rsidRPr="00B102A2" w:rsidTr="009F3E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6F358A" w:rsidRDefault="008635E3" w:rsidP="009F3E56">
            <w:pPr>
              <w:pStyle w:val="TableSpace"/>
              <w:rPr>
                <w:vertAlign w:val="subscript"/>
              </w:rPr>
            </w:pPr>
            <w:r>
              <w:t>k</w:t>
            </w:r>
            <w:r>
              <w:rPr>
                <w:vertAlign w:val="subscript"/>
              </w:rPr>
              <w:t>v1</w:t>
            </w:r>
          </w:p>
        </w:tc>
        <w:tc>
          <w:tcPr>
            <w:tcW w:w="2617"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Valve 1's constant</w:t>
            </w:r>
          </w:p>
        </w:tc>
        <w:tc>
          <w:tcPr>
            <w:tcW w:w="2381"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0.0036</w:t>
            </w:r>
            <w:r>
              <w:t>3</w:t>
            </w:r>
          </w:p>
        </w:tc>
        <w:tc>
          <w:tcPr>
            <w:tcW w:w="2381" w:type="dxa"/>
          </w:tcPr>
          <w:p w:rsidR="008635E3" w:rsidRPr="00B102A2"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[m</w:t>
            </w:r>
            <w:r>
              <w:rPr>
                <w:vertAlign w:val="superscript"/>
              </w:rPr>
              <w:t>3</w:t>
            </w:r>
            <w:r>
              <w:t>/min/%open]</w:t>
            </w:r>
          </w:p>
        </w:tc>
      </w:tr>
      <w:tr w:rsidR="008635E3" w:rsidRPr="00B102A2" w:rsidTr="009F3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6F358A" w:rsidRDefault="008635E3" w:rsidP="009F3E56">
            <w:pPr>
              <w:pStyle w:val="TableSpace"/>
              <w:rPr>
                <w:vertAlign w:val="subscript"/>
              </w:rPr>
            </w:pPr>
            <w:r>
              <w:t>k</w:t>
            </w:r>
            <w:r>
              <w:rPr>
                <w:vertAlign w:val="subscript"/>
              </w:rPr>
              <w:t>v2</w:t>
            </w:r>
          </w:p>
        </w:tc>
        <w:tc>
          <w:tcPr>
            <w:tcW w:w="2617"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Valve 2's constant</w:t>
            </w:r>
          </w:p>
        </w:tc>
        <w:tc>
          <w:tcPr>
            <w:tcW w:w="2381"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0.000815</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r>
              <w:rPr>
                <w:vertAlign w:val="superscript"/>
              </w:rPr>
              <w:t>3</w:t>
            </w:r>
            <w:r>
              <w:t>/min/%open]</w:t>
            </w:r>
          </w:p>
        </w:tc>
      </w:tr>
      <w:tr w:rsidR="008635E3" w:rsidRPr="00B102A2" w:rsidTr="009F3E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6F358A" w:rsidRDefault="008635E3" w:rsidP="009F3E56">
            <w:pPr>
              <w:pStyle w:val="TableSpace"/>
              <w:rPr>
                <w:vertAlign w:val="subscript"/>
              </w:rPr>
            </w:pPr>
            <w:r>
              <w:t>k</w:t>
            </w:r>
            <w:r>
              <w:rPr>
                <w:vertAlign w:val="subscript"/>
              </w:rPr>
              <w:t>v3</w:t>
            </w:r>
          </w:p>
        </w:tc>
        <w:tc>
          <w:tcPr>
            <w:tcW w:w="2617"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Valve 3's constant</w:t>
            </w:r>
          </w:p>
        </w:tc>
        <w:tc>
          <w:tcPr>
            <w:tcW w:w="2381" w:type="dxa"/>
          </w:tcPr>
          <w:p w:rsidR="008635E3" w:rsidRPr="006167F1"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rsidRPr="006167F1">
              <w:t>0.01</w:t>
            </w:r>
          </w:p>
        </w:tc>
        <w:tc>
          <w:tcPr>
            <w:tcW w:w="2381" w:type="dxa"/>
          </w:tcPr>
          <w:p w:rsidR="008635E3" w:rsidRPr="00B102A2" w:rsidRDefault="008635E3" w:rsidP="009F3E56">
            <w:pPr>
              <w:pStyle w:val="TableSpace"/>
              <w:cnfStyle w:val="000000010000" w:firstRow="0" w:lastRow="0" w:firstColumn="0" w:lastColumn="0" w:oddVBand="0" w:evenVBand="0" w:oddHBand="0" w:evenHBand="1" w:firstRowFirstColumn="0" w:firstRowLastColumn="0" w:lastRowFirstColumn="0" w:lastRowLastColumn="0"/>
            </w:pPr>
            <w:r>
              <w:t>[m</w:t>
            </w:r>
            <w:r>
              <w:rPr>
                <w:vertAlign w:val="superscript"/>
              </w:rPr>
              <w:t>3</w:t>
            </w:r>
            <w:r>
              <w:t>/min/%open]</w:t>
            </w:r>
          </w:p>
        </w:tc>
      </w:tr>
      <w:tr w:rsidR="008635E3" w:rsidRPr="00B102A2" w:rsidTr="009F3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Pr>
          <w:p w:rsidR="008635E3" w:rsidRPr="006F358A" w:rsidRDefault="008635E3" w:rsidP="009F3E56">
            <w:pPr>
              <w:pStyle w:val="TableSpace"/>
              <w:rPr>
                <w:vertAlign w:val="subscript"/>
              </w:rPr>
            </w:pPr>
            <w:r>
              <w:t>k</w:t>
            </w:r>
            <w:r>
              <w:rPr>
                <w:vertAlign w:val="subscript"/>
              </w:rPr>
              <w:t>v4</w:t>
            </w:r>
          </w:p>
        </w:tc>
        <w:tc>
          <w:tcPr>
            <w:tcW w:w="2617"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Valve 4's constant</w:t>
            </w:r>
          </w:p>
        </w:tc>
        <w:tc>
          <w:tcPr>
            <w:tcW w:w="2381" w:type="dxa"/>
          </w:tcPr>
          <w:p w:rsidR="008635E3" w:rsidRPr="006167F1"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rsidRPr="006167F1">
              <w:t>0.000769</w:t>
            </w:r>
          </w:p>
        </w:tc>
        <w:tc>
          <w:tcPr>
            <w:tcW w:w="2381" w:type="dxa"/>
          </w:tcPr>
          <w:p w:rsidR="008635E3" w:rsidRPr="00B102A2" w:rsidRDefault="008635E3" w:rsidP="009F3E56">
            <w:pPr>
              <w:pStyle w:val="TableSpace"/>
              <w:cnfStyle w:val="000000100000" w:firstRow="0" w:lastRow="0" w:firstColumn="0" w:lastColumn="0" w:oddVBand="0" w:evenVBand="0" w:oddHBand="1" w:evenHBand="0" w:firstRowFirstColumn="0" w:firstRowLastColumn="0" w:lastRowFirstColumn="0" w:lastRowLastColumn="0"/>
            </w:pPr>
            <w:r>
              <w:t>[m</w:t>
            </w:r>
            <w:r>
              <w:rPr>
                <w:vertAlign w:val="superscript"/>
              </w:rPr>
              <w:t>3</w:t>
            </w:r>
            <w:r>
              <w:t>/min/%open]</w:t>
            </w:r>
          </w:p>
        </w:tc>
      </w:tr>
    </w:tbl>
    <w:p w:rsidR="008635E3" w:rsidRPr="00B102A2" w:rsidRDefault="008635E3" w:rsidP="008635E3">
      <w:pPr>
        <w:pStyle w:val="Heading3"/>
        <w:numPr>
          <w:ilvl w:val="2"/>
          <w:numId w:val="39"/>
        </w:numPr>
      </w:pPr>
      <w:bookmarkStart w:id="13" w:name="_Toc339856615"/>
      <w:bookmarkStart w:id="14" w:name="_Toc404672123"/>
      <w:r w:rsidRPr="00B102A2">
        <w:t>Formulation of model</w:t>
      </w:r>
      <w:bookmarkEnd w:id="13"/>
      <w:bookmarkEnd w:id="14"/>
    </w:p>
    <w:p w:rsidR="008635E3" w:rsidRDefault="008635E3" w:rsidP="008635E3">
      <w:pPr>
        <w:pStyle w:val="Heading4"/>
      </w:pPr>
      <w:r>
        <w:t>Mass balance</w:t>
      </w:r>
    </w:p>
    <w:p w:rsidR="008635E3" w:rsidRDefault="008635E3" w:rsidP="008635E3">
      <w:r>
        <w:t>A generalised mass balance on a tank is given by:</w:t>
      </w:r>
    </w:p>
    <w:p w:rsidR="008635E3" w:rsidRDefault="008635E3" w:rsidP="008635E3">
      <w:pPr>
        <w:pStyle w:val="Caption"/>
        <w:jc w:val="both"/>
      </w:pPr>
      <w:r>
        <w:t xml:space="preserve">Equation </w:t>
      </w:r>
      <w:fldSimple w:instr=" SEQ Equation \* ARABIC ">
        <w:r w:rsidR="00A85791">
          <w:rPr>
            <w:noProof/>
          </w:rPr>
          <w:t>1</w:t>
        </w:r>
      </w:fldSimple>
      <w:r>
        <w:t>: Generalised mass balance</w:t>
      </w:r>
    </w:p>
    <w:p w:rsidR="008635E3" w:rsidRDefault="008635E3" w:rsidP="008635E3">
      <m:oMathPara>
        <m:oMath>
          <m:r>
            <w:rPr>
              <w:rFonts w:ascii="Cambria Math" w:hAnsi="Cambria Math"/>
            </w:rPr>
            <m:t>Accumulation=</m:t>
          </m:r>
          <m:nary>
            <m:naryPr>
              <m:chr m:val="∑"/>
              <m:limLoc m:val="undOvr"/>
              <m:subHide m:val="1"/>
              <m:supHide m:val="1"/>
              <m:ctrlPr>
                <w:rPr>
                  <w:rFonts w:ascii="Cambria Math" w:hAnsi="Cambria Math"/>
                  <w:i/>
                </w:rPr>
              </m:ctrlPr>
            </m:naryPr>
            <m:sub/>
            <m:sup/>
            <m:e>
              <m:r>
                <w:rPr>
                  <w:rFonts w:ascii="Cambria Math" w:hAnsi="Cambria Math"/>
                </w:rPr>
                <m:t>Flows in</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Flows out</m:t>
              </m:r>
            </m:e>
          </m:nary>
        </m:oMath>
      </m:oMathPara>
    </w:p>
    <w:p w:rsidR="008635E3" w:rsidRPr="00570BA5" w:rsidRDefault="008635E3" w:rsidP="008635E3">
      <w:r>
        <w:t>The mass balance of the first tank therefore requires determination of the accumulation term, which is the change in volume of the tank with time. There is one stream flowing in, F</w:t>
      </w:r>
      <w:r>
        <w:rPr>
          <w:vertAlign w:val="subscript"/>
        </w:rPr>
        <w:t>1</w:t>
      </w:r>
      <w:r>
        <w:t>, and one stream flowing out, F</w:t>
      </w:r>
      <w:r>
        <w:rPr>
          <w:vertAlign w:val="subscript"/>
        </w:rPr>
        <w:t>1</w:t>
      </w:r>
      <w:proofErr w:type="gramStart"/>
      <w:r>
        <w:rPr>
          <w:vertAlign w:val="subscript"/>
        </w:rPr>
        <w:t>,out</w:t>
      </w:r>
      <w:proofErr w:type="gramEnd"/>
      <w:r>
        <w:t>. The heating steam flow, F</w:t>
      </w:r>
      <w:r>
        <w:rPr>
          <w:vertAlign w:val="subscript"/>
        </w:rPr>
        <w:t>3</w:t>
      </w:r>
      <w:r>
        <w:t>, flows into and out of the tank in heating coils and does not mix at all with the material in the tank, therefore it does not appear in the mass balance (it will appear in the energy balance since it exchanges heat with the material in the tank). Therefore the mass balance is given by:</w:t>
      </w:r>
    </w:p>
    <w:p w:rsidR="008635E3" w:rsidRDefault="008635E3" w:rsidP="008635E3">
      <w:pPr>
        <w:pStyle w:val="Caption"/>
      </w:pPr>
      <w:bookmarkStart w:id="15" w:name="_Ref339481205"/>
      <w:r>
        <w:t xml:space="preserve">Equation </w:t>
      </w:r>
      <w:fldSimple w:instr=" SEQ Equation \* ARABIC ">
        <w:r w:rsidR="00A85791">
          <w:rPr>
            <w:noProof/>
          </w:rPr>
          <w:t>2</w:t>
        </w:r>
      </w:fldSimple>
      <w:bookmarkEnd w:id="15"/>
    </w:p>
    <w:p w:rsidR="008635E3" w:rsidRDefault="00BC36D8" w:rsidP="008635E3">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1,out</m:t>
              </m:r>
            </m:sub>
          </m:sSub>
        </m:oMath>
      </m:oMathPara>
    </w:p>
    <w:p w:rsidR="008635E3" w:rsidRDefault="008635E3" w:rsidP="008635E3">
      <w:pPr>
        <w:rPr>
          <w:rFonts w:eastAsiaTheme="minorEastAsia"/>
        </w:rPr>
      </w:pPr>
      <w:r>
        <w:rPr>
          <w:rFonts w:eastAsiaTheme="minorEastAsia"/>
        </w:rPr>
        <w:t>The volume of the tank is given by the level multiplied by the cross sectional area. The level varies, so it remains within the derivative term, but the area can be taken out. The flow rate out of the tank is dependent on the level of the tank. The flow rate is related to the pressure driving force (</w:t>
      </w:r>
      <w:r>
        <w:rPr>
          <w:rFonts w:eastAsiaTheme="minorEastAsia"/>
        </w:rPr>
        <w:fldChar w:fldCharType="begin"/>
      </w:r>
      <w:r>
        <w:rPr>
          <w:rFonts w:eastAsiaTheme="minorEastAsia"/>
        </w:rPr>
        <w:instrText>ADDIN RW.CITE{{138 Marlin,T.E. 2000}}</w:instrText>
      </w:r>
      <w:r>
        <w:rPr>
          <w:rFonts w:eastAsiaTheme="minorEastAsia"/>
        </w:rPr>
        <w:fldChar w:fldCharType="separate"/>
      </w:r>
      <w:r>
        <w:rPr>
          <w:rFonts w:eastAsiaTheme="minorEastAsia"/>
        </w:rPr>
        <w:t>(Marlin, 2000)</w:t>
      </w:r>
      <w:r>
        <w:rPr>
          <w:rFonts w:eastAsiaTheme="minorEastAsia"/>
        </w:rPr>
        <w:fldChar w:fldCharType="end"/>
      </w:r>
      <w:r>
        <w:rPr>
          <w:rFonts w:eastAsiaTheme="minorEastAsia"/>
        </w:rPr>
        <w:t>), i.e. the static pressure exerted by the liquid. This relationship can be approximated by:</w:t>
      </w:r>
    </w:p>
    <w:p w:rsidR="008635E3" w:rsidRDefault="008635E3" w:rsidP="008635E3">
      <w:pPr>
        <w:pStyle w:val="Caption"/>
        <w:jc w:val="both"/>
      </w:pPr>
      <w:r>
        <w:t xml:space="preserve">Equation </w:t>
      </w:r>
      <w:fldSimple w:instr=" SEQ Equation \* ARABIC ">
        <w:r w:rsidR="00A85791">
          <w:rPr>
            <w:noProof/>
          </w:rPr>
          <w:t>3</w:t>
        </w:r>
      </w:fldSimple>
      <w:r>
        <w:t xml:space="preserve"> (</w:t>
      </w:r>
      <w:r>
        <w:fldChar w:fldCharType="begin"/>
      </w:r>
      <w:r>
        <w:instrText>ADDIN RW.CITE{{138 Marlin,T.E. 2000}}</w:instrText>
      </w:r>
      <w:r>
        <w:fldChar w:fldCharType="separate"/>
      </w:r>
      <w:r>
        <w:rPr>
          <w:b w:val="0"/>
        </w:rPr>
        <w:t>(Marlin, 2000)</w:t>
      </w:r>
      <w:r>
        <w:rPr>
          <w:b w:val="0"/>
        </w:rPr>
        <w:fldChar w:fldCharType="end"/>
      </w:r>
      <w:r>
        <w:t>)</w:t>
      </w:r>
    </w:p>
    <w:p w:rsidR="008635E3" w:rsidRDefault="00BC36D8" w:rsidP="008635E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1,out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1</m:t>
                  </m:r>
                </m:sub>
              </m:sSub>
            </m:e>
          </m:rad>
        </m:oMath>
      </m:oMathPara>
    </w:p>
    <w:p w:rsidR="008635E3" w:rsidRPr="009B5313" w:rsidRDefault="008635E3" w:rsidP="008635E3">
      <w:r>
        <w:rPr>
          <w:rFonts w:eastAsiaTheme="minorEastAsia"/>
        </w:rPr>
        <w:t xml:space="preserve">Substitution into </w:t>
      </w:r>
      <w:r>
        <w:rPr>
          <w:rFonts w:eastAsiaTheme="minorEastAsia"/>
        </w:rPr>
        <w:fldChar w:fldCharType="begin"/>
      </w:r>
      <w:r>
        <w:rPr>
          <w:rFonts w:eastAsiaTheme="minorEastAsia"/>
        </w:rPr>
        <w:instrText xml:space="preserve"> REF _Ref339481205 \h </w:instrText>
      </w:r>
      <w:r>
        <w:rPr>
          <w:rFonts w:eastAsiaTheme="minorEastAsia"/>
        </w:rPr>
      </w:r>
      <w:r>
        <w:rPr>
          <w:rFonts w:eastAsiaTheme="minorEastAsia"/>
        </w:rPr>
        <w:fldChar w:fldCharType="separate"/>
      </w:r>
      <w:r w:rsidR="00A85791">
        <w:t xml:space="preserve">Equation </w:t>
      </w:r>
      <w:r w:rsidR="00A85791">
        <w:rPr>
          <w:noProof/>
        </w:rPr>
        <w:t>2</w:t>
      </w:r>
      <w:r>
        <w:rPr>
          <w:rFonts w:eastAsiaTheme="minorEastAsia"/>
        </w:rPr>
        <w:fldChar w:fldCharType="end"/>
      </w:r>
      <w:r>
        <w:rPr>
          <w:rFonts w:eastAsiaTheme="minorEastAsia"/>
        </w:rPr>
        <w:t xml:space="preserve"> results in the mass balance for tank 1:</w:t>
      </w:r>
    </w:p>
    <w:p w:rsidR="008635E3" w:rsidRDefault="008635E3" w:rsidP="008635E3">
      <w:pPr>
        <w:pStyle w:val="Caption"/>
        <w:jc w:val="both"/>
      </w:pPr>
      <w:bookmarkStart w:id="16" w:name="_Ref339519213"/>
      <w:r>
        <w:lastRenderedPageBreak/>
        <w:t xml:space="preserve">Equation </w:t>
      </w:r>
      <w:fldSimple w:instr=" SEQ Equation \* ARABIC ">
        <w:r w:rsidR="00A85791">
          <w:rPr>
            <w:noProof/>
          </w:rPr>
          <w:t>4</w:t>
        </w:r>
      </w:fldSimple>
      <w:bookmarkEnd w:id="16"/>
      <w:r>
        <w:t>: Tank 1 mass balance</w:t>
      </w:r>
    </w:p>
    <w:p w:rsidR="008635E3" w:rsidRDefault="00BC36D8" w:rsidP="008635E3">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1</m:t>
                  </m:r>
                </m:sub>
              </m:sSub>
            </m:e>
          </m:rad>
        </m:oMath>
      </m:oMathPara>
    </w:p>
    <w:p w:rsidR="008635E3" w:rsidRDefault="008635E3" w:rsidP="008635E3">
      <w:pPr>
        <w:rPr>
          <w:rFonts w:eastAsiaTheme="minorEastAsia"/>
        </w:rPr>
      </w:pPr>
      <w:r>
        <w:rPr>
          <w:rFonts w:eastAsiaTheme="minorEastAsia"/>
        </w:rPr>
        <w:t>For the second tank the mass balance is similar, except that the underflow from tank 1 also flows into it. The resulting mass balance for tank 2 is given by:</w:t>
      </w:r>
    </w:p>
    <w:p w:rsidR="008635E3" w:rsidRDefault="008635E3" w:rsidP="008635E3">
      <w:pPr>
        <w:pStyle w:val="Caption"/>
        <w:jc w:val="both"/>
      </w:pPr>
      <w:bookmarkStart w:id="17" w:name="_Ref339661209"/>
      <w:r>
        <w:t xml:space="preserve">Equation </w:t>
      </w:r>
      <w:fldSimple w:instr=" SEQ Equation \* ARABIC ">
        <w:r w:rsidR="00A85791">
          <w:rPr>
            <w:noProof/>
          </w:rPr>
          <w:t>5</w:t>
        </w:r>
      </w:fldSimple>
      <w:bookmarkEnd w:id="17"/>
      <w:r>
        <w:t>: Tank 2 mass balance</w:t>
      </w:r>
    </w:p>
    <w:p w:rsidR="008635E3" w:rsidRDefault="00BC36D8" w:rsidP="008635E3">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1</m:t>
                  </m:r>
                </m:sub>
              </m:sSub>
            </m:e>
          </m:ra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2</m:t>
                  </m:r>
                </m:sub>
              </m:sSub>
            </m:e>
          </m:rad>
        </m:oMath>
      </m:oMathPara>
    </w:p>
    <w:p w:rsidR="008635E3" w:rsidRDefault="008635E3" w:rsidP="008635E3">
      <w:pPr>
        <w:pStyle w:val="Heading4"/>
      </w:pPr>
      <w:r>
        <w:t>Energy balance</w:t>
      </w:r>
    </w:p>
    <w:p w:rsidR="008635E3" w:rsidRDefault="008635E3" w:rsidP="008635E3">
      <w:r>
        <w:t>Since there is not shaft work in the process, the energy balance is given by:</w:t>
      </w:r>
    </w:p>
    <w:p w:rsidR="008635E3" w:rsidRDefault="008635E3" w:rsidP="008635E3">
      <w:pPr>
        <w:pStyle w:val="Caption"/>
        <w:jc w:val="both"/>
      </w:pPr>
      <w:r>
        <w:t xml:space="preserve">Equation </w:t>
      </w:r>
      <w:fldSimple w:instr=" SEQ Equation \* ARABIC ">
        <w:r w:rsidR="00A85791">
          <w:rPr>
            <w:noProof/>
          </w:rPr>
          <w:t>6</w:t>
        </w:r>
      </w:fldSimple>
    </w:p>
    <w:p w:rsidR="008635E3" w:rsidRDefault="00BC36D8" w:rsidP="008635E3">
      <w:pPr>
        <w:rPr>
          <w:rFonts w:eastAsiaTheme="minorEastAsia"/>
        </w:rPr>
      </w:pPr>
      <m:oMathPara>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out</m:t>
              </m:r>
            </m:sub>
          </m:sSub>
          <m:r>
            <w:rPr>
              <w:rFonts w:ascii="Cambria Math" w:eastAsiaTheme="minorEastAsia" w:hAnsi="Cambria Math"/>
            </w:rPr>
            <m:t>+Q</m:t>
          </m:r>
        </m:oMath>
      </m:oMathPara>
    </w:p>
    <w:p w:rsidR="008635E3" w:rsidRDefault="008635E3" w:rsidP="008635E3">
      <w:pPr>
        <w:rPr>
          <w:rFonts w:eastAsiaTheme="minorEastAsia"/>
        </w:rPr>
      </w:pPr>
      <w:r>
        <w:rPr>
          <w:rFonts w:eastAsiaTheme="minorEastAsia"/>
        </w:rPr>
        <w:t>The change in internal energy, U, with time is given by:</w:t>
      </w:r>
    </w:p>
    <w:p w:rsidR="008635E3" w:rsidRDefault="008635E3" w:rsidP="008635E3">
      <w:pPr>
        <w:pStyle w:val="Caption"/>
        <w:jc w:val="both"/>
      </w:pPr>
      <w:bookmarkStart w:id="18" w:name="_Ref339528827"/>
      <w:r>
        <w:t xml:space="preserve">Equation </w:t>
      </w:r>
      <w:fldSimple w:instr=" SEQ Equation \* ARABIC ">
        <w:r w:rsidR="00A85791">
          <w:rPr>
            <w:noProof/>
          </w:rPr>
          <w:t>7</w:t>
        </w:r>
      </w:fldSimple>
      <w:bookmarkEnd w:id="18"/>
    </w:p>
    <w:p w:rsidR="008635E3" w:rsidRDefault="00BC36D8" w:rsidP="008635E3">
      <w:pPr>
        <w:rPr>
          <w:rFonts w:eastAsiaTheme="minorEastAsia"/>
        </w:rPr>
      </w:pPr>
      <m:oMathPara>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f>
            <m:fPr>
              <m:ctrlPr>
                <w:rPr>
                  <w:rFonts w:ascii="Cambria Math" w:hAnsi="Cambria Math"/>
                  <w:i/>
                </w:rPr>
              </m:ctrlPr>
            </m:fPr>
            <m:num>
              <m:r>
                <w:rPr>
                  <w:rFonts w:ascii="Cambria Math" w:hAnsi="Cambria Math"/>
                </w:rPr>
                <m:t>dVT</m:t>
              </m:r>
            </m:num>
            <m:den>
              <m:r>
                <w:rPr>
                  <w:rFonts w:ascii="Cambria Math" w:hAnsi="Cambria Math"/>
                </w:rPr>
                <m:t>dt</m:t>
              </m:r>
            </m:den>
          </m:f>
        </m:oMath>
      </m:oMathPara>
    </w:p>
    <w:p w:rsidR="008635E3" w:rsidRDefault="008635E3" w:rsidP="008635E3">
      <w:pPr>
        <w:rPr>
          <w:rFonts w:eastAsiaTheme="minorEastAsia"/>
        </w:rPr>
      </w:pPr>
      <w:r>
        <w:rPr>
          <w:rFonts w:eastAsiaTheme="minorEastAsia"/>
        </w:rPr>
        <w:t xml:space="preserve">The enthalpy of stream </w:t>
      </w:r>
      <w:proofErr w:type="spellStart"/>
      <w:r>
        <w:rPr>
          <w:rFonts w:eastAsiaTheme="minorEastAsia"/>
        </w:rPr>
        <w:t>i</w:t>
      </w:r>
      <w:proofErr w:type="spellEnd"/>
      <w:r>
        <w:rPr>
          <w:rFonts w:eastAsiaTheme="minorEastAsia"/>
        </w:rPr>
        <w:t>, H</w:t>
      </w:r>
      <w:r>
        <w:rPr>
          <w:rFonts w:eastAsiaTheme="minorEastAsia"/>
          <w:vertAlign w:val="subscript"/>
        </w:rPr>
        <w:t>i</w:t>
      </w:r>
      <w:r>
        <w:rPr>
          <w:rFonts w:eastAsiaTheme="minorEastAsia"/>
        </w:rPr>
        <w:t>, is given by:</w:t>
      </w:r>
    </w:p>
    <w:p w:rsidR="008635E3" w:rsidRDefault="008635E3" w:rsidP="008635E3">
      <w:pPr>
        <w:pStyle w:val="Caption"/>
        <w:jc w:val="both"/>
      </w:pPr>
      <w:r>
        <w:t xml:space="preserve">Equation </w:t>
      </w:r>
      <w:fldSimple w:instr=" SEQ Equation \* ARABIC ">
        <w:r w:rsidR="00A85791">
          <w:rPr>
            <w:noProof/>
          </w:rPr>
          <w:t>8</w:t>
        </w:r>
      </w:fldSimple>
    </w:p>
    <w:p w:rsidR="008635E3" w:rsidRDefault="00BC36D8" w:rsidP="008635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oMath>
      </m:oMathPara>
    </w:p>
    <w:p w:rsidR="008635E3" w:rsidRDefault="008635E3" w:rsidP="008635E3">
      <w:pPr>
        <w:rPr>
          <w:rFonts w:eastAsiaTheme="minorEastAsia"/>
        </w:rPr>
      </w:pPr>
      <w:r>
        <w:rPr>
          <w:rFonts w:eastAsiaTheme="minorEastAsia"/>
        </w:rPr>
        <w:t xml:space="preserve">Substituting these equations into the energy balance (assuming a value of 0 for </w:t>
      </w:r>
      <w:proofErr w:type="spellStart"/>
      <w:r>
        <w:rPr>
          <w:rFonts w:eastAsiaTheme="minorEastAsia"/>
        </w:rPr>
        <w:t>T</w:t>
      </w:r>
      <w:r>
        <w:rPr>
          <w:rFonts w:eastAsiaTheme="minorEastAsia"/>
          <w:vertAlign w:val="subscript"/>
        </w:rPr>
        <w:t>ref</w:t>
      </w:r>
      <w:proofErr w:type="spellEnd"/>
      <w:r>
        <w:rPr>
          <w:rFonts w:eastAsiaTheme="minorEastAsia"/>
        </w:rPr>
        <w:t>) gives the following equation for the first tank:</w:t>
      </w:r>
    </w:p>
    <w:p w:rsidR="008635E3" w:rsidRDefault="008635E3" w:rsidP="008635E3">
      <w:pPr>
        <w:pStyle w:val="Caption"/>
        <w:jc w:val="both"/>
      </w:pPr>
      <w:bookmarkStart w:id="19" w:name="_Ref339484443"/>
      <w:r>
        <w:t xml:space="preserve">Equation </w:t>
      </w:r>
      <w:fldSimple w:instr=" SEQ Equation \* ARABIC ">
        <w:r w:rsidR="00A85791">
          <w:rPr>
            <w:noProof/>
          </w:rPr>
          <w:t>9</w:t>
        </w:r>
      </w:fldSimple>
      <w:bookmarkEnd w:id="19"/>
    </w:p>
    <w:p w:rsidR="008635E3" w:rsidRPr="00697F72" w:rsidRDefault="008635E3" w:rsidP="008635E3">
      <w:pPr>
        <w:rPr>
          <w:rFonts w:eastAsiaTheme="minorEastAsia"/>
        </w:rPr>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f>
            <m:fPr>
              <m:ctrlPr>
                <w:rPr>
                  <w:rFonts w:ascii="Cambria Math" w:hAnsi="Cambria Math"/>
                  <w:i/>
                </w:rPr>
              </m:ctrlPr>
            </m:fPr>
            <m:num>
              <m:r>
                <w:rPr>
                  <w:rFonts w:ascii="Cambria Math" w:hAnsi="Cambria Math"/>
                </w:rPr>
                <m:t>d</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e>
                <m:sub>
                  <m:r>
                    <w:rPr>
                      <w:rFonts w:ascii="Cambria Math" w:hAnsi="Cambria Math"/>
                    </w:rPr>
                    <m:t>1</m:t>
                  </m:r>
                </m:sub>
              </m:sSub>
            </m:num>
            <m:den>
              <m:r>
                <w:rPr>
                  <w:rFonts w:ascii="Cambria Math" w:hAnsi="Cambria Math"/>
                </w:rPr>
                <m:t>dt</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+Q</m:t>
          </m:r>
        </m:oMath>
      </m:oMathPara>
    </w:p>
    <w:p w:rsidR="008635E3" w:rsidRPr="0055740A" w:rsidRDefault="008635E3" w:rsidP="008635E3">
      <w:pPr>
        <w:rPr>
          <w:rFonts w:eastAsiaTheme="minorEastAsia"/>
        </w:rPr>
      </w:pPr>
      <w:r>
        <w:rPr>
          <w:rFonts w:eastAsiaTheme="minorEastAsia"/>
        </w:rPr>
        <w:t>Under the assumption of perfect mixing in the tank the temperature of the stream flowing out of the tank is equal to the temperature in the tank. The temperature of the feed stream is designated T</w:t>
      </w:r>
      <w:r>
        <w:rPr>
          <w:rFonts w:eastAsiaTheme="minorEastAsia"/>
          <w:vertAlign w:val="subscript"/>
        </w:rPr>
        <w:t>1</w:t>
      </w:r>
      <w:proofErr w:type="gramStart"/>
      <w:r>
        <w:rPr>
          <w:rFonts w:eastAsiaTheme="minorEastAsia"/>
          <w:vertAlign w:val="subscript"/>
        </w:rPr>
        <w:t>,in</w:t>
      </w:r>
      <w:proofErr w:type="gramEnd"/>
      <w:r>
        <w:rPr>
          <w:rFonts w:eastAsiaTheme="minorEastAsia"/>
        </w:rPr>
        <w:t xml:space="preserve">. </w:t>
      </w:r>
    </w:p>
    <w:p w:rsidR="008635E3" w:rsidRDefault="008635E3" w:rsidP="008635E3">
      <w:pPr>
        <w:rPr>
          <w:rFonts w:eastAsiaTheme="minorEastAsia"/>
        </w:rPr>
      </w:pPr>
      <w:r>
        <w:rPr>
          <w:rFonts w:eastAsiaTheme="minorEastAsia"/>
        </w:rPr>
        <w:t>Q represents the heat transferred to the liquid in the tank from the liquid in the heating coils. An energy balance on the liquid in the heating coils gives:</w:t>
      </w:r>
    </w:p>
    <w:p w:rsidR="008635E3" w:rsidRDefault="008635E3" w:rsidP="008635E3">
      <w:pPr>
        <w:pStyle w:val="Caption"/>
        <w:jc w:val="both"/>
      </w:pPr>
      <w:r>
        <w:t xml:space="preserve">Equation </w:t>
      </w:r>
      <w:fldSimple w:instr=" SEQ Equation \* ARABIC ">
        <w:r w:rsidR="00A85791">
          <w:rPr>
            <w:noProof/>
          </w:rPr>
          <w:t>10</w:t>
        </w:r>
      </w:fldSimple>
    </w:p>
    <w:p w:rsidR="008635E3" w:rsidRDefault="008635E3" w:rsidP="008635E3">
      <w:pPr>
        <w:rPr>
          <w:rFonts w:eastAsiaTheme="minorEastAsia"/>
        </w:rPr>
      </w:pPr>
      <m:oMathPara>
        <m:oMath>
          <m:r>
            <w:rPr>
              <w:rFonts w:ascii="Cambria Math" w:eastAsiaTheme="minorEastAsia" w:hAnsi="Cambria Math"/>
            </w:rPr>
            <m:t>Q= 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out</m:t>
                  </m:r>
                </m:sub>
              </m:sSub>
            </m:e>
          </m:d>
        </m:oMath>
      </m:oMathPara>
    </w:p>
    <w:p w:rsidR="008635E3" w:rsidRDefault="008635E3" w:rsidP="008635E3">
      <w:pPr>
        <w:rPr>
          <w:rFonts w:eastAsiaTheme="minorEastAsia"/>
        </w:rPr>
      </w:pPr>
      <w:r>
        <w:rPr>
          <w:rFonts w:eastAsiaTheme="minorEastAsia"/>
        </w:rPr>
        <w:lastRenderedPageBreak/>
        <w:t>F</w:t>
      </w:r>
      <w:r>
        <w:rPr>
          <w:rFonts w:eastAsiaTheme="minorEastAsia"/>
          <w:vertAlign w:val="subscript"/>
        </w:rPr>
        <w:t>3</w:t>
      </w:r>
      <w:r>
        <w:rPr>
          <w:rFonts w:eastAsiaTheme="minorEastAsia"/>
        </w:rPr>
        <w:t xml:space="preserve"> is the flow rate of the heating steam, T</w:t>
      </w:r>
      <w:r>
        <w:rPr>
          <w:rFonts w:eastAsiaTheme="minorEastAsia"/>
          <w:vertAlign w:val="subscript"/>
        </w:rPr>
        <w:t>3</w:t>
      </w:r>
      <w:r>
        <w:rPr>
          <w:rFonts w:eastAsiaTheme="minorEastAsia"/>
        </w:rPr>
        <w:t xml:space="preserve"> is the temperature at which the steam enters the coils and T</w:t>
      </w:r>
      <w:r>
        <w:rPr>
          <w:rFonts w:eastAsiaTheme="minorEastAsia"/>
          <w:vertAlign w:val="subscript"/>
        </w:rPr>
        <w:t>out</w:t>
      </w:r>
      <w:r>
        <w:rPr>
          <w:rFonts w:eastAsiaTheme="minorEastAsia"/>
        </w:rPr>
        <w:t xml:space="preserve"> is the temperature at which it exits F</w:t>
      </w:r>
      <w:r>
        <w:rPr>
          <w:rFonts w:eastAsiaTheme="minorEastAsia"/>
          <w:vertAlign w:val="subscript"/>
        </w:rPr>
        <w:t>3</w:t>
      </w:r>
      <w:r>
        <w:rPr>
          <w:rFonts w:eastAsiaTheme="minorEastAsia"/>
        </w:rPr>
        <w:t xml:space="preserve">. </w:t>
      </w:r>
      <w:r w:rsidRPr="00E73A25">
        <w:rPr>
          <w:rFonts w:eastAsiaTheme="minorEastAsia"/>
        </w:rPr>
        <w:t>Rearrang</w:t>
      </w:r>
      <w:r>
        <w:rPr>
          <w:rFonts w:eastAsiaTheme="minorEastAsia"/>
        </w:rPr>
        <w:t>ing so that T</w:t>
      </w:r>
      <w:r>
        <w:rPr>
          <w:rFonts w:eastAsiaTheme="minorEastAsia"/>
          <w:vertAlign w:val="subscript"/>
        </w:rPr>
        <w:t xml:space="preserve">out </w:t>
      </w:r>
      <w:r>
        <w:rPr>
          <w:rFonts w:eastAsiaTheme="minorEastAsia"/>
        </w:rPr>
        <w:t>is the subject of the equation gives:</w:t>
      </w:r>
    </w:p>
    <w:p w:rsidR="008635E3" w:rsidRDefault="008635E3" w:rsidP="008635E3">
      <w:pPr>
        <w:pStyle w:val="Caption"/>
        <w:jc w:val="both"/>
      </w:pPr>
      <w:bookmarkStart w:id="20" w:name="_Ref339484176"/>
      <w:r>
        <w:t xml:space="preserve">Equation </w:t>
      </w:r>
      <w:fldSimple w:instr=" SEQ Equation \* ARABIC ">
        <w:r w:rsidR="00A85791">
          <w:rPr>
            <w:noProof/>
          </w:rPr>
          <w:t>11</w:t>
        </w:r>
      </w:fldSimple>
      <w:bookmarkEnd w:id="20"/>
    </w:p>
    <w:p w:rsidR="008635E3" w:rsidRPr="002D1CB6" w:rsidRDefault="00BC36D8" w:rsidP="008635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en>
          </m:f>
          <m:r>
            <w:rPr>
              <w:rFonts w:ascii="Cambria Math" w:eastAsiaTheme="minorEastAsia" w:hAnsi="Cambria Math"/>
            </w:rPr>
            <m:t xml:space="preserve"> </m:t>
          </m:r>
        </m:oMath>
      </m:oMathPara>
    </w:p>
    <w:p w:rsidR="008635E3" w:rsidRDefault="008635E3" w:rsidP="008635E3">
      <w:pPr>
        <w:rPr>
          <w:rFonts w:eastAsiaTheme="minorEastAsia"/>
        </w:rPr>
      </w:pPr>
      <w:r>
        <w:rPr>
          <w:rFonts w:eastAsiaTheme="minorEastAsia"/>
        </w:rPr>
        <w:t>The heat transferred can be determined using the overall heat transfer coefficient, UA. Assuming that the inner film resistance dominates the heat transfer through the coils, and that the resistance of the tube walls and the outer film resistance are negligible. An empirical equation relating the heat transfer coefficient to the flow rate of liquid was reported in Marlin as:</w:t>
      </w:r>
    </w:p>
    <w:p w:rsidR="008635E3" w:rsidRDefault="008635E3" w:rsidP="008635E3">
      <w:pPr>
        <w:pStyle w:val="Caption"/>
        <w:jc w:val="both"/>
      </w:pPr>
      <w:r>
        <w:t xml:space="preserve">Equation </w:t>
      </w:r>
      <w:fldSimple w:instr=" SEQ Equation \* ARABIC ">
        <w:r w:rsidR="00A85791">
          <w:rPr>
            <w:noProof/>
          </w:rPr>
          <w:t>12</w:t>
        </w:r>
      </w:fldSimple>
    </w:p>
    <w:p w:rsidR="008635E3" w:rsidRDefault="008635E3" w:rsidP="008635E3">
      <w:pPr>
        <w:rPr>
          <w:rFonts w:eastAsiaTheme="minorEastAsia"/>
        </w:rPr>
      </w:pPr>
      <m:oMathPara>
        <m:oMath>
          <m:r>
            <w:rPr>
              <w:rFonts w:ascii="Cambria Math" w:eastAsiaTheme="minorEastAsia" w:hAnsi="Cambria Math"/>
            </w:rPr>
            <m:t>UA=a</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3</m:t>
              </m:r>
            </m:sub>
            <m:sup>
              <m:r>
                <w:rPr>
                  <w:rFonts w:ascii="Cambria Math" w:eastAsiaTheme="minorEastAsia" w:hAnsi="Cambria Math"/>
                </w:rPr>
                <m:t>b</m:t>
              </m:r>
            </m:sup>
          </m:sSubSup>
        </m:oMath>
      </m:oMathPara>
    </w:p>
    <w:p w:rsidR="008635E3" w:rsidRDefault="008635E3" w:rsidP="008635E3">
      <w:pPr>
        <w:rPr>
          <w:rFonts w:eastAsiaTheme="minorEastAsia"/>
        </w:rPr>
      </w:pPr>
      <w:r>
        <w:rPr>
          <w:rFonts w:eastAsiaTheme="minorEastAsia"/>
        </w:rPr>
        <w:t>The heat transfer from the tubes is then given by the heat transfer coefficient multiplied by an approximation of the mean difference of the temperature in the tank and the temperature in the coils.</w:t>
      </w:r>
    </w:p>
    <w:p w:rsidR="008635E3" w:rsidRDefault="008635E3" w:rsidP="008635E3">
      <w:pPr>
        <w:pStyle w:val="Caption"/>
        <w:jc w:val="both"/>
      </w:pPr>
      <w:bookmarkStart w:id="21" w:name="_Ref339484182"/>
      <w:r>
        <w:t xml:space="preserve">Equation </w:t>
      </w:r>
      <w:fldSimple w:instr=" SEQ Equation \* ARABIC ">
        <w:r w:rsidR="00A85791">
          <w:rPr>
            <w:noProof/>
          </w:rPr>
          <w:t>13</w:t>
        </w:r>
      </w:fldSimple>
      <w:bookmarkEnd w:id="21"/>
    </w:p>
    <w:p w:rsidR="008635E3" w:rsidRDefault="008635E3" w:rsidP="008635E3">
      <w:pPr>
        <w:rPr>
          <w:rFonts w:eastAsiaTheme="minorEastAsia"/>
        </w:rPr>
      </w:pPr>
      <m:oMathPara>
        <m:oMath>
          <m:r>
            <w:rPr>
              <w:rFonts w:ascii="Cambria Math" w:eastAsiaTheme="minorEastAsia" w:hAnsi="Cambria Math"/>
            </w:rPr>
            <m:t>Q=-a</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3</m:t>
              </m:r>
            </m:sub>
            <m:sup>
              <m:r>
                <w:rPr>
                  <w:rFonts w:ascii="Cambria Math" w:eastAsiaTheme="minorEastAsia" w:hAnsi="Cambria Math"/>
                </w:rPr>
                <m:t>b</m:t>
              </m:r>
            </m:sup>
          </m:sSubSup>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out</m:t>
                          </m:r>
                        </m:sub>
                      </m:sSub>
                    </m:e>
                  </m:d>
                </m:num>
                <m:den>
                  <m:r>
                    <w:rPr>
                      <w:rFonts w:ascii="Cambria Math" w:eastAsiaTheme="minorEastAsia" w:hAnsi="Cambria Math"/>
                    </w:rPr>
                    <m:t>2</m:t>
                  </m:r>
                </m:den>
              </m:f>
            </m:e>
          </m:d>
        </m:oMath>
      </m:oMathPara>
    </w:p>
    <w:p w:rsidR="008635E3" w:rsidRDefault="008635E3" w:rsidP="008635E3">
      <w:pPr>
        <w:rPr>
          <w:rFonts w:eastAsiaTheme="minorEastAsia"/>
        </w:rPr>
      </w:pPr>
      <w:r>
        <w:rPr>
          <w:rFonts w:eastAsiaTheme="minorEastAsia"/>
        </w:rPr>
        <w:t xml:space="preserve">Combination of </w:t>
      </w:r>
      <w:r>
        <w:rPr>
          <w:rFonts w:eastAsiaTheme="minorEastAsia"/>
        </w:rPr>
        <w:fldChar w:fldCharType="begin"/>
      </w:r>
      <w:r>
        <w:rPr>
          <w:rFonts w:eastAsiaTheme="minorEastAsia"/>
        </w:rPr>
        <w:instrText xml:space="preserve"> REF _Ref339484176 \h </w:instrText>
      </w:r>
      <w:r>
        <w:rPr>
          <w:rFonts w:eastAsiaTheme="minorEastAsia"/>
        </w:rPr>
      </w:r>
      <w:r>
        <w:rPr>
          <w:rFonts w:eastAsiaTheme="minorEastAsia"/>
        </w:rPr>
        <w:fldChar w:fldCharType="separate"/>
      </w:r>
      <w:r w:rsidR="00A85791">
        <w:t xml:space="preserve">Equation </w:t>
      </w:r>
      <w:r w:rsidR="00A85791">
        <w:rPr>
          <w:noProof/>
        </w:rPr>
        <w:t>11</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_Ref339484182 \h </w:instrText>
      </w:r>
      <w:r>
        <w:rPr>
          <w:rFonts w:eastAsiaTheme="minorEastAsia"/>
        </w:rPr>
      </w:r>
      <w:r>
        <w:rPr>
          <w:rFonts w:eastAsiaTheme="minorEastAsia"/>
        </w:rPr>
        <w:fldChar w:fldCharType="separate"/>
      </w:r>
      <w:r w:rsidR="00A85791">
        <w:t xml:space="preserve">Equation </w:t>
      </w:r>
      <w:r w:rsidR="00A85791">
        <w:rPr>
          <w:noProof/>
        </w:rPr>
        <w:t>13</w:t>
      </w:r>
      <w:r>
        <w:rPr>
          <w:rFonts w:eastAsiaTheme="minorEastAsia"/>
        </w:rPr>
        <w:fldChar w:fldCharType="end"/>
      </w:r>
      <w:r>
        <w:rPr>
          <w:rFonts w:eastAsiaTheme="minorEastAsia"/>
        </w:rPr>
        <w:t xml:space="preserve"> to eliminate T</w:t>
      </w:r>
      <w:r>
        <w:rPr>
          <w:rFonts w:eastAsiaTheme="minorEastAsia"/>
          <w:vertAlign w:val="subscript"/>
        </w:rPr>
        <w:t>out</w:t>
      </w:r>
      <w:r>
        <w:rPr>
          <w:rFonts w:eastAsiaTheme="minorEastAsia"/>
        </w:rPr>
        <w:t>, gives:</w:t>
      </w:r>
    </w:p>
    <w:p w:rsidR="008635E3" w:rsidRDefault="008635E3" w:rsidP="008635E3">
      <w:pPr>
        <w:pStyle w:val="Caption"/>
        <w:jc w:val="both"/>
      </w:pPr>
      <w:r>
        <w:t xml:space="preserve">Equation </w:t>
      </w:r>
      <w:fldSimple w:instr=" SEQ Equation \* ARABIC ">
        <w:r w:rsidR="00A85791">
          <w:rPr>
            <w:noProof/>
          </w:rPr>
          <w:t>14</w:t>
        </w:r>
      </w:fldSimple>
    </w:p>
    <w:p w:rsidR="008635E3" w:rsidRDefault="008635E3" w:rsidP="008635E3">
      <w:pPr>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HeatF</m:t>
                  </m:r>
                </m:e>
                <m:sub>
                  <m:r>
                    <w:rPr>
                      <w:rFonts w:ascii="Cambria Math" w:eastAsiaTheme="minorEastAsia" w:hAnsi="Cambria Math"/>
                    </w:rPr>
                    <m:t>3</m:t>
                  </m:r>
                </m:sub>
                <m:sup>
                  <m:r>
                    <w:rPr>
                      <w:rFonts w:ascii="Cambria Math" w:eastAsiaTheme="minorEastAsia" w:hAnsi="Cambria Math"/>
                    </w:rPr>
                    <m:t>b+1</m:t>
                  </m:r>
                </m:sup>
              </m:sSubSup>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aHeat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3</m:t>
                      </m:r>
                    </m:sub>
                    <m:sup>
                      <m:r>
                        <w:rPr>
                          <w:rFonts w:ascii="Cambria Math" w:eastAsiaTheme="minorEastAsia" w:hAnsi="Cambria Math"/>
                        </w:rPr>
                        <m:t>b</m:t>
                      </m:r>
                    </m:sup>
                  </m:sSubSup>
                </m:num>
                <m:den>
                  <m:r>
                    <w:rPr>
                      <w:rFonts w:ascii="Cambria Math" w:eastAsiaTheme="minorEastAsia" w:hAnsi="Cambria Math"/>
                    </w:rPr>
                    <m:t>2ρ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oMath>
      </m:oMathPara>
    </w:p>
    <w:p w:rsidR="008635E3" w:rsidRDefault="008635E3" w:rsidP="008635E3">
      <w:pPr>
        <w:rPr>
          <w:rFonts w:eastAsiaTheme="minorEastAsia"/>
        </w:rPr>
      </w:pPr>
      <w:r>
        <w:rPr>
          <w:rFonts w:eastAsiaTheme="minorEastAsia"/>
        </w:rPr>
        <w:t xml:space="preserve">Substitution into </w:t>
      </w:r>
      <w:r>
        <w:rPr>
          <w:rFonts w:eastAsiaTheme="minorEastAsia"/>
        </w:rPr>
        <w:fldChar w:fldCharType="begin"/>
      </w:r>
      <w:r>
        <w:rPr>
          <w:rFonts w:eastAsiaTheme="minorEastAsia"/>
        </w:rPr>
        <w:instrText xml:space="preserve"> REF _Ref339484443 \h </w:instrText>
      </w:r>
      <w:r>
        <w:rPr>
          <w:rFonts w:eastAsiaTheme="minorEastAsia"/>
        </w:rPr>
      </w:r>
      <w:r>
        <w:rPr>
          <w:rFonts w:eastAsiaTheme="minorEastAsia"/>
        </w:rPr>
        <w:fldChar w:fldCharType="separate"/>
      </w:r>
      <w:r w:rsidR="00A85791">
        <w:t xml:space="preserve">Equation </w:t>
      </w:r>
      <w:r w:rsidR="00A85791">
        <w:rPr>
          <w:noProof/>
        </w:rPr>
        <w:t>9</w:t>
      </w:r>
      <w:r>
        <w:rPr>
          <w:rFonts w:eastAsiaTheme="minorEastAsia"/>
        </w:rPr>
        <w:fldChar w:fldCharType="end"/>
      </w:r>
      <w:r>
        <w:rPr>
          <w:rFonts w:eastAsiaTheme="minorEastAsia"/>
        </w:rPr>
        <w:t xml:space="preserve"> results in the complete energy balance for tank 1:</w:t>
      </w:r>
    </w:p>
    <w:p w:rsidR="008635E3" w:rsidRDefault="008635E3" w:rsidP="008635E3">
      <w:pPr>
        <w:pStyle w:val="Caption"/>
        <w:jc w:val="both"/>
      </w:pPr>
      <w:bookmarkStart w:id="22" w:name="_Ref339660839"/>
      <w:r>
        <w:t xml:space="preserve">Equation </w:t>
      </w:r>
      <w:fldSimple w:instr=" SEQ Equation \* ARABIC ">
        <w:r w:rsidR="00A85791">
          <w:rPr>
            <w:noProof/>
          </w:rPr>
          <w:t>15</w:t>
        </w:r>
      </w:fldSimple>
      <w:bookmarkEnd w:id="22"/>
      <w:r>
        <w:t>: Energy balance for tank 1</w:t>
      </w:r>
    </w:p>
    <w:p w:rsidR="008635E3" w:rsidRPr="00697F72" w:rsidRDefault="008635E3" w:rsidP="008635E3">
      <w:pPr>
        <w:rPr>
          <w:rFonts w:eastAsiaTheme="minorEastAsia"/>
        </w:rPr>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f>
            <m:fPr>
              <m:ctrlPr>
                <w:rPr>
                  <w:rFonts w:ascii="Cambria Math" w:hAnsi="Cambria Math"/>
                  <w:i/>
                </w:rPr>
              </m:ctrlPr>
            </m:fPr>
            <m:num>
              <m:r>
                <w:rPr>
                  <w:rFonts w:ascii="Cambria Math" w:hAnsi="Cambria Math"/>
                </w:rPr>
                <m:t>d</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e>
                <m:sub>
                  <m:r>
                    <w:rPr>
                      <w:rFonts w:ascii="Cambria Math" w:hAnsi="Cambria Math"/>
                    </w:rPr>
                    <m:t>1</m:t>
                  </m:r>
                </m:sub>
              </m:sSub>
            </m:num>
            <m:den>
              <m:r>
                <w:rPr>
                  <w:rFonts w:ascii="Cambria Math" w:hAnsi="Cambria Math"/>
                </w:rPr>
                <m:t>dt</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aHeat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3</m:t>
                  </m:r>
                </m:sub>
                <m:sup>
                  <m:r>
                    <w:rPr>
                      <w:rFonts w:ascii="Cambria Math" w:eastAsiaTheme="minorEastAsia" w:hAnsi="Cambria Math"/>
                    </w:rPr>
                    <m:t>b+1</m:t>
                  </m:r>
                </m:sup>
              </m:sSubSup>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aHeat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3</m:t>
                      </m:r>
                    </m:sub>
                    <m:sup>
                      <m:r>
                        <w:rPr>
                          <w:rFonts w:ascii="Cambria Math" w:eastAsiaTheme="minorEastAsia" w:hAnsi="Cambria Math"/>
                        </w:rPr>
                        <m:t>b</m:t>
                      </m:r>
                    </m:sup>
                  </m:sSubSup>
                </m:num>
                <m:den>
                  <m:r>
                    <w:rPr>
                      <w:rFonts w:ascii="Cambria Math" w:eastAsiaTheme="minorEastAsia" w:hAnsi="Cambria Math"/>
                    </w:rPr>
                    <m:t>2ρ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oMath>
      </m:oMathPara>
    </w:p>
    <w:p w:rsidR="008635E3" w:rsidRPr="00E73A25" w:rsidRDefault="008635E3" w:rsidP="008635E3">
      <w:pPr>
        <w:rPr>
          <w:rFonts w:eastAsiaTheme="minorEastAsia"/>
        </w:rPr>
      </w:pPr>
      <w:r>
        <w:rPr>
          <w:rFonts w:eastAsiaTheme="minorEastAsia"/>
        </w:rPr>
        <w:t>For tank 2 the energy balance is similar, except that the energy entering the system from the outlet stream of tank 1 has to be included. The flow rate of water into the tank is F</w:t>
      </w:r>
      <w:r>
        <w:rPr>
          <w:rFonts w:eastAsiaTheme="minorEastAsia"/>
          <w:vertAlign w:val="subscript"/>
        </w:rPr>
        <w:t>2</w:t>
      </w:r>
      <w:r>
        <w:rPr>
          <w:rFonts w:eastAsiaTheme="minorEastAsia"/>
        </w:rPr>
        <w:t>, entering at a temperature of T</w:t>
      </w:r>
      <w:r>
        <w:rPr>
          <w:rFonts w:eastAsiaTheme="minorEastAsia"/>
          <w:vertAlign w:val="subscript"/>
        </w:rPr>
        <w:t>2</w:t>
      </w:r>
      <w:proofErr w:type="gramStart"/>
      <w:r>
        <w:rPr>
          <w:rFonts w:eastAsiaTheme="minorEastAsia"/>
          <w:vertAlign w:val="subscript"/>
        </w:rPr>
        <w:t>,in</w:t>
      </w:r>
      <w:proofErr w:type="gramEnd"/>
      <w:r>
        <w:rPr>
          <w:rFonts w:eastAsiaTheme="minorEastAsia"/>
        </w:rPr>
        <w:t>. The flow rate of steam is F</w:t>
      </w:r>
      <w:r>
        <w:rPr>
          <w:rFonts w:eastAsiaTheme="minorEastAsia"/>
          <w:vertAlign w:val="subscript"/>
        </w:rPr>
        <w:t>4</w:t>
      </w:r>
      <w:r>
        <w:rPr>
          <w:rFonts w:eastAsiaTheme="minorEastAsia"/>
        </w:rPr>
        <w:t>, entering at a temperature of T</w:t>
      </w:r>
      <w:r>
        <w:rPr>
          <w:rFonts w:eastAsiaTheme="minorEastAsia"/>
          <w:vertAlign w:val="subscript"/>
        </w:rPr>
        <w:t>4</w:t>
      </w:r>
      <w:r>
        <w:rPr>
          <w:rFonts w:eastAsiaTheme="minorEastAsia"/>
        </w:rPr>
        <w:t>. The temperature of the tank is T</w:t>
      </w:r>
      <w:r>
        <w:rPr>
          <w:rFonts w:eastAsiaTheme="minorEastAsia"/>
          <w:vertAlign w:val="subscript"/>
        </w:rPr>
        <w:t>2</w:t>
      </w:r>
      <w:r>
        <w:rPr>
          <w:rFonts w:eastAsiaTheme="minorEastAsia"/>
        </w:rPr>
        <w:t>.</w:t>
      </w:r>
    </w:p>
    <w:p w:rsidR="008635E3" w:rsidRDefault="008635E3" w:rsidP="008635E3">
      <w:pPr>
        <w:pStyle w:val="Caption"/>
        <w:jc w:val="both"/>
      </w:pPr>
      <w:bookmarkStart w:id="23" w:name="_Ref339661372"/>
      <w:r>
        <w:lastRenderedPageBreak/>
        <w:t xml:space="preserve">Equation </w:t>
      </w:r>
      <w:fldSimple w:instr=" SEQ Equation \* ARABIC ">
        <w:r w:rsidR="00A85791">
          <w:rPr>
            <w:noProof/>
          </w:rPr>
          <w:t>16</w:t>
        </w:r>
      </w:fldSimple>
      <w:bookmarkEnd w:id="23"/>
      <w:r>
        <w:t>: Energy balance for tank 2</w:t>
      </w:r>
    </w:p>
    <w:p w:rsidR="008635E3" w:rsidRPr="00697F72" w:rsidRDefault="008635E3" w:rsidP="008635E3">
      <w:pPr>
        <w:rPr>
          <w:rFonts w:eastAsiaTheme="minorEastAsia"/>
        </w:rPr>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dt</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aHeat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4</m:t>
                  </m:r>
                </m:sub>
                <m:sup>
                  <m:r>
                    <w:rPr>
                      <w:rFonts w:ascii="Cambria Math" w:eastAsiaTheme="minorEastAsia" w:hAnsi="Cambria Math"/>
                    </w:rPr>
                    <m:t>b+1</m:t>
                  </m:r>
                </m:sup>
              </m:sSubSup>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HeatF</m:t>
                      </m:r>
                    </m:e>
                    <m:sub>
                      <m:r>
                        <w:rPr>
                          <w:rFonts w:ascii="Cambria Math" w:eastAsiaTheme="minorEastAsia" w:hAnsi="Cambria Math"/>
                        </w:rPr>
                        <m:t>4</m:t>
                      </m:r>
                    </m:sub>
                    <m:sup>
                      <m:r>
                        <w:rPr>
                          <w:rFonts w:ascii="Cambria Math" w:eastAsiaTheme="minorEastAsia" w:hAnsi="Cambria Math"/>
                        </w:rPr>
                        <m:t>b</m:t>
                      </m:r>
                    </m:sup>
                  </m:sSubSup>
                </m:num>
                <m:den>
                  <m:r>
                    <w:rPr>
                      <w:rFonts w:ascii="Cambria Math" w:eastAsiaTheme="minorEastAsia" w:hAnsi="Cambria Math"/>
                    </w:rPr>
                    <m:t>2ρ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m:oMathPara>
    </w:p>
    <w:sectPr w:rsidR="008635E3" w:rsidRPr="00697F72" w:rsidSect="00BC36D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79D" w:rsidRDefault="00EF779D" w:rsidP="00146EF8">
      <w:pPr>
        <w:spacing w:after="0" w:line="240" w:lineRule="auto"/>
      </w:pPr>
      <w:r>
        <w:separator/>
      </w:r>
    </w:p>
  </w:endnote>
  <w:endnote w:type="continuationSeparator" w:id="0">
    <w:p w:rsidR="00EF779D" w:rsidRDefault="00EF779D" w:rsidP="00146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79D" w:rsidRDefault="00EF779D" w:rsidP="00146EF8">
      <w:pPr>
        <w:spacing w:after="0" w:line="240" w:lineRule="auto"/>
      </w:pPr>
      <w:r>
        <w:separator/>
      </w:r>
    </w:p>
  </w:footnote>
  <w:footnote w:type="continuationSeparator" w:id="0">
    <w:p w:rsidR="00EF779D" w:rsidRDefault="00EF779D" w:rsidP="00146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6643"/>
    <w:multiLevelType w:val="hybridMultilevel"/>
    <w:tmpl w:val="EC30AF34"/>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5471B2B"/>
    <w:multiLevelType w:val="hybridMultilevel"/>
    <w:tmpl w:val="F73A2002"/>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4A95EB7"/>
    <w:multiLevelType w:val="hybridMultilevel"/>
    <w:tmpl w:val="D6AE4A98"/>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92C6AFC"/>
    <w:multiLevelType w:val="hybridMultilevel"/>
    <w:tmpl w:val="27E001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14E6748"/>
    <w:multiLevelType w:val="hybridMultilevel"/>
    <w:tmpl w:val="265AC9E4"/>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325091D"/>
    <w:multiLevelType w:val="hybridMultilevel"/>
    <w:tmpl w:val="D6AE4A98"/>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4353B08"/>
    <w:multiLevelType w:val="hybridMultilevel"/>
    <w:tmpl w:val="D78EDB8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6D74E7E"/>
    <w:multiLevelType w:val="hybridMultilevel"/>
    <w:tmpl w:val="1DBC3B7E"/>
    <w:lvl w:ilvl="0" w:tplc="BE3698E0">
      <w:start w:val="1"/>
      <w:numFmt w:val="upperLetter"/>
      <w:pStyle w:val="Appendix"/>
      <w:lvlText w:val="Appendix %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274C371C"/>
    <w:multiLevelType w:val="hybridMultilevel"/>
    <w:tmpl w:val="7F8A3F7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BE772BF"/>
    <w:multiLevelType w:val="hybridMultilevel"/>
    <w:tmpl w:val="AEB62E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EBA48B5"/>
    <w:multiLevelType w:val="hybridMultilevel"/>
    <w:tmpl w:val="1CAC38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1182BA2"/>
    <w:multiLevelType w:val="hybridMultilevel"/>
    <w:tmpl w:val="5B621B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2080C74"/>
    <w:multiLevelType w:val="hybridMultilevel"/>
    <w:tmpl w:val="7F8A3F7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3B3174F"/>
    <w:multiLevelType w:val="hybridMultilevel"/>
    <w:tmpl w:val="CF9C1662"/>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4F1386D"/>
    <w:multiLevelType w:val="hybridMultilevel"/>
    <w:tmpl w:val="E4B44E0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5583F4F"/>
    <w:multiLevelType w:val="hybridMultilevel"/>
    <w:tmpl w:val="D6A289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7753A5C"/>
    <w:multiLevelType w:val="multilevel"/>
    <w:tmpl w:val="8716B7B6"/>
    <w:lvl w:ilvl="0">
      <w:start w:val="1"/>
      <w:numFmt w:val="decimal"/>
      <w:pStyle w:val="Heading1"/>
      <w:lvlText w:val="Chapter %1 -"/>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8"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07092A"/>
    <w:multiLevelType w:val="hybridMultilevel"/>
    <w:tmpl w:val="2FC4FB74"/>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92C010C"/>
    <w:multiLevelType w:val="hybridMultilevel"/>
    <w:tmpl w:val="CAA6C1F8"/>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A690CAC"/>
    <w:multiLevelType w:val="hybridMultilevel"/>
    <w:tmpl w:val="8D0EEF4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3AA76938"/>
    <w:multiLevelType w:val="hybridMultilevel"/>
    <w:tmpl w:val="AC2E01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CB11F89"/>
    <w:multiLevelType w:val="hybridMultilevel"/>
    <w:tmpl w:val="29C60AC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F450D4C"/>
    <w:multiLevelType w:val="hybridMultilevel"/>
    <w:tmpl w:val="7F8A3F7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2131037"/>
    <w:multiLevelType w:val="hybridMultilevel"/>
    <w:tmpl w:val="60CA91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2A73760"/>
    <w:multiLevelType w:val="hybridMultilevel"/>
    <w:tmpl w:val="25C671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8D25C21"/>
    <w:multiLevelType w:val="hybridMultilevel"/>
    <w:tmpl w:val="707812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98367EF"/>
    <w:multiLevelType w:val="hybridMultilevel"/>
    <w:tmpl w:val="1F30C7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D84124A"/>
    <w:multiLevelType w:val="hybridMultilevel"/>
    <w:tmpl w:val="81C27A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E962013"/>
    <w:multiLevelType w:val="hybridMultilevel"/>
    <w:tmpl w:val="8702DD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F8F6538"/>
    <w:multiLevelType w:val="hybridMultilevel"/>
    <w:tmpl w:val="BC1CFF86"/>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0173A0C"/>
    <w:multiLevelType w:val="hybridMultilevel"/>
    <w:tmpl w:val="3B4C1EB6"/>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1695E26"/>
    <w:multiLevelType w:val="hybridMultilevel"/>
    <w:tmpl w:val="4D8674D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29D133A"/>
    <w:multiLevelType w:val="hybridMultilevel"/>
    <w:tmpl w:val="768A2D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2CD4CD2"/>
    <w:multiLevelType w:val="hybridMultilevel"/>
    <w:tmpl w:val="B64E3C44"/>
    <w:lvl w:ilvl="0" w:tplc="1C090011">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4" w15:restartNumberingAfterBreak="0">
    <w:nsid w:val="554A2E05"/>
    <w:multiLevelType w:val="hybridMultilevel"/>
    <w:tmpl w:val="4050A2FC"/>
    <w:lvl w:ilvl="0" w:tplc="1C090011">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828395C"/>
    <w:multiLevelType w:val="hybridMultilevel"/>
    <w:tmpl w:val="793C7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5DF557BE"/>
    <w:multiLevelType w:val="hybridMultilevel"/>
    <w:tmpl w:val="CE9847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5EB33F7"/>
    <w:multiLevelType w:val="hybridMultilevel"/>
    <w:tmpl w:val="84DEC56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EE219D7"/>
    <w:multiLevelType w:val="hybridMultilevel"/>
    <w:tmpl w:val="E6F6188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9" w15:restartNumberingAfterBreak="0">
    <w:nsid w:val="721D223E"/>
    <w:multiLevelType w:val="multilevel"/>
    <w:tmpl w:val="CD8E69DE"/>
    <w:lvl w:ilvl="0">
      <w:start w:val="1"/>
      <w:numFmt w:val="upperLetter"/>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22A1616"/>
    <w:multiLevelType w:val="hybridMultilevel"/>
    <w:tmpl w:val="EA5C7900"/>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73E15B57"/>
    <w:multiLevelType w:val="hybridMultilevel"/>
    <w:tmpl w:val="CFB02FA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74B7684D"/>
    <w:multiLevelType w:val="hybridMultilevel"/>
    <w:tmpl w:val="1F02FF90"/>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9015F2C"/>
    <w:multiLevelType w:val="hybridMultilevel"/>
    <w:tmpl w:val="EC30AF34"/>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7D894015"/>
    <w:multiLevelType w:val="hybridMultilevel"/>
    <w:tmpl w:val="564273D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3"/>
  </w:num>
  <w:num w:numId="2">
    <w:abstractNumId w:val="7"/>
  </w:num>
  <w:num w:numId="3">
    <w:abstractNumId w:val="16"/>
  </w:num>
  <w:num w:numId="4">
    <w:abstractNumId w:val="10"/>
  </w:num>
  <w:num w:numId="5">
    <w:abstractNumId w:val="26"/>
  </w:num>
  <w:num w:numId="6">
    <w:abstractNumId w:val="14"/>
  </w:num>
  <w:num w:numId="7">
    <w:abstractNumId w:val="31"/>
  </w:num>
  <w:num w:numId="8">
    <w:abstractNumId w:val="28"/>
  </w:num>
  <w:num w:numId="9">
    <w:abstractNumId w:val="9"/>
  </w:num>
  <w:num w:numId="10">
    <w:abstractNumId w:val="41"/>
  </w:num>
  <w:num w:numId="11">
    <w:abstractNumId w:val="4"/>
  </w:num>
  <w:num w:numId="12">
    <w:abstractNumId w:val="43"/>
  </w:num>
  <w:num w:numId="13">
    <w:abstractNumId w:val="0"/>
  </w:num>
  <w:num w:numId="14">
    <w:abstractNumId w:val="20"/>
  </w:num>
  <w:num w:numId="15">
    <w:abstractNumId w:val="13"/>
  </w:num>
  <w:num w:numId="16">
    <w:abstractNumId w:val="22"/>
  </w:num>
  <w:num w:numId="17">
    <w:abstractNumId w:val="8"/>
  </w:num>
  <w:num w:numId="18">
    <w:abstractNumId w:val="12"/>
  </w:num>
  <w:num w:numId="19">
    <w:abstractNumId w:val="34"/>
  </w:num>
  <w:num w:numId="20">
    <w:abstractNumId w:val="21"/>
  </w:num>
  <w:num w:numId="21">
    <w:abstractNumId w:val="1"/>
  </w:num>
  <w:num w:numId="22">
    <w:abstractNumId w:val="2"/>
  </w:num>
  <w:num w:numId="23">
    <w:abstractNumId w:val="5"/>
  </w:num>
  <w:num w:numId="24">
    <w:abstractNumId w:val="37"/>
  </w:num>
  <w:num w:numId="25">
    <w:abstractNumId w:val="27"/>
  </w:num>
  <w:num w:numId="26">
    <w:abstractNumId w:val="30"/>
  </w:num>
  <w:num w:numId="27">
    <w:abstractNumId w:val="29"/>
  </w:num>
  <w:num w:numId="28">
    <w:abstractNumId w:val="3"/>
  </w:num>
  <w:num w:numId="29">
    <w:abstractNumId w:val="36"/>
  </w:num>
  <w:num w:numId="30">
    <w:abstractNumId w:val="19"/>
  </w:num>
  <w:num w:numId="31">
    <w:abstractNumId w:val="17"/>
  </w:num>
  <w:num w:numId="32">
    <w:abstractNumId w:val="38"/>
  </w:num>
  <w:num w:numId="33">
    <w:abstractNumId w:val="35"/>
  </w:num>
  <w:num w:numId="34">
    <w:abstractNumId w:val="15"/>
  </w:num>
  <w:num w:numId="35">
    <w:abstractNumId w:val="32"/>
  </w:num>
  <w:num w:numId="36">
    <w:abstractNumId w:val="11"/>
  </w:num>
  <w:num w:numId="37">
    <w:abstractNumId w:val="25"/>
  </w:num>
  <w:num w:numId="38">
    <w:abstractNumId w:val="42"/>
  </w:num>
  <w:num w:numId="39">
    <w:abstractNumId w:val="39"/>
  </w:num>
  <w:num w:numId="40">
    <w:abstractNumId w:val="40"/>
  </w:num>
  <w:num w:numId="41">
    <w:abstractNumId w:val="44"/>
  </w:num>
  <w:num w:numId="42">
    <w:abstractNumId w:val="33"/>
  </w:num>
  <w:num w:numId="43">
    <w:abstractNumId w:val="18"/>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5E3"/>
    <w:rsid w:val="00146EF8"/>
    <w:rsid w:val="00733FF1"/>
    <w:rsid w:val="008635E3"/>
    <w:rsid w:val="00A85791"/>
    <w:rsid w:val="00BC36D8"/>
    <w:rsid w:val="00C730E4"/>
    <w:rsid w:val="00E3652C"/>
    <w:rsid w:val="00EF6A11"/>
    <w:rsid w:val="00EF779D"/>
    <w:rsid w:val="00FE098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43500B-76D0-420A-8215-9BCD4BB38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5E3"/>
    <w:pPr>
      <w:spacing w:after="120" w:line="360" w:lineRule="auto"/>
      <w:jc w:val="both"/>
    </w:pPr>
  </w:style>
  <w:style w:type="paragraph" w:styleId="Heading1">
    <w:name w:val="heading 1"/>
    <w:aliases w:val="Chapter heading"/>
    <w:basedOn w:val="Normal"/>
    <w:next w:val="Normal"/>
    <w:link w:val="Heading1Char"/>
    <w:uiPriority w:val="9"/>
    <w:qFormat/>
    <w:rsid w:val="008635E3"/>
    <w:pPr>
      <w:keepNext/>
      <w:keepLines/>
      <w:numPr>
        <w:numId w:val="3"/>
      </w:numPr>
      <w:pBdr>
        <w:bottom w:val="single" w:sz="4" w:space="1" w:color="auto"/>
      </w:pBd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635E3"/>
    <w:pPr>
      <w:keepNext/>
      <w:keepLines/>
      <w:numPr>
        <w:ilvl w:val="1"/>
        <w:numId w:val="3"/>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635E3"/>
    <w:pPr>
      <w:keepNext/>
      <w:keepLines/>
      <w:numPr>
        <w:ilvl w:val="2"/>
        <w:numId w:val="3"/>
      </w:numPr>
      <w:spacing w:before="12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635E3"/>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635E3"/>
    <w:pPr>
      <w:keepNext/>
      <w:keepLines/>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35E3"/>
    <w:pPr>
      <w:keepNext/>
      <w:keepLines/>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35E3"/>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35E3"/>
    <w:pPr>
      <w:keepNext/>
      <w:keepLines/>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35E3"/>
    <w:pPr>
      <w:keepNext/>
      <w:keepLines/>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8635E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635E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635E3"/>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635E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635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35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35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35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35E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8635E3"/>
    <w:pPr>
      <w:keepNext/>
      <w:spacing w:line="240" w:lineRule="auto"/>
      <w:jc w:val="center"/>
    </w:pPr>
    <w:rPr>
      <w:b/>
      <w:bCs/>
      <w:sz w:val="20"/>
      <w:szCs w:val="18"/>
    </w:rPr>
  </w:style>
  <w:style w:type="character" w:customStyle="1" w:styleId="CaptionChar">
    <w:name w:val="Caption Char"/>
    <w:basedOn w:val="DefaultParagraphFont"/>
    <w:link w:val="Caption"/>
    <w:rsid w:val="008635E3"/>
    <w:rPr>
      <w:b/>
      <w:bCs/>
      <w:sz w:val="20"/>
      <w:szCs w:val="18"/>
    </w:rPr>
  </w:style>
  <w:style w:type="paragraph" w:customStyle="1" w:styleId="Abstract">
    <w:name w:val="Abstract"/>
    <w:basedOn w:val="Heading1"/>
    <w:next w:val="Normal"/>
    <w:link w:val="AbstractChar"/>
    <w:qFormat/>
    <w:rsid w:val="008635E3"/>
    <w:pPr>
      <w:keepNext w:val="0"/>
      <w:keepLines w:val="0"/>
      <w:numPr>
        <w:numId w:val="0"/>
      </w:numPr>
      <w:spacing w:before="0" w:after="160"/>
      <w:contextualSpacing/>
    </w:pPr>
    <w:rPr>
      <w:rFonts w:eastAsiaTheme="minorHAnsi" w:cstheme="minorBidi"/>
      <w:bCs w:val="0"/>
    </w:rPr>
  </w:style>
  <w:style w:type="character" w:customStyle="1" w:styleId="AbstractChar">
    <w:name w:val="Abstract Char"/>
    <w:basedOn w:val="DefaultParagraphFont"/>
    <w:link w:val="Abstract"/>
    <w:locked/>
    <w:rsid w:val="008635E3"/>
    <w:rPr>
      <w:rFonts w:asciiTheme="majorHAnsi" w:hAnsiTheme="majorHAnsi"/>
      <w:b/>
      <w:sz w:val="28"/>
      <w:szCs w:val="28"/>
    </w:rPr>
  </w:style>
  <w:style w:type="paragraph" w:styleId="ListParagraph">
    <w:name w:val="List Paragraph"/>
    <w:basedOn w:val="Normal"/>
    <w:uiPriority w:val="34"/>
    <w:qFormat/>
    <w:rsid w:val="008635E3"/>
    <w:pPr>
      <w:ind w:left="720"/>
      <w:contextualSpacing/>
    </w:pPr>
  </w:style>
  <w:style w:type="table" w:styleId="TableGrid">
    <w:name w:val="Table Grid"/>
    <w:basedOn w:val="TableNormal"/>
    <w:uiPriority w:val="59"/>
    <w:rsid w:val="00863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rsid w:val="008635E3"/>
    <w:pPr>
      <w:widowControl w:val="0"/>
      <w:tabs>
        <w:tab w:val="right" w:pos="5040"/>
      </w:tabs>
      <w:autoSpaceDE w:val="0"/>
      <w:autoSpaceDN w:val="0"/>
      <w:spacing w:after="0" w:line="252" w:lineRule="auto"/>
    </w:pPr>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8635E3"/>
    <w:pPr>
      <w:spacing w:before="100" w:beforeAutospacing="1" w:after="100" w:afterAutospacing="1" w:line="240" w:lineRule="auto"/>
      <w:jc w:val="left"/>
    </w:pPr>
    <w:rPr>
      <w:rFonts w:ascii="Times New Roman" w:eastAsiaTheme="minorEastAsia" w:hAnsi="Times New Roman" w:cs="Times New Roman"/>
      <w:sz w:val="24"/>
      <w:szCs w:val="24"/>
      <w:lang w:eastAsia="en-ZA"/>
    </w:rPr>
  </w:style>
  <w:style w:type="paragraph" w:styleId="BalloonText">
    <w:name w:val="Balloon Text"/>
    <w:basedOn w:val="Normal"/>
    <w:link w:val="BalloonTextChar"/>
    <w:uiPriority w:val="99"/>
    <w:semiHidden/>
    <w:unhideWhenUsed/>
    <w:rsid w:val="00863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5E3"/>
    <w:rPr>
      <w:rFonts w:ascii="Tahoma" w:hAnsi="Tahoma" w:cs="Tahoma"/>
      <w:sz w:val="16"/>
      <w:szCs w:val="16"/>
    </w:rPr>
  </w:style>
  <w:style w:type="paragraph" w:styleId="Header">
    <w:name w:val="header"/>
    <w:basedOn w:val="Normal"/>
    <w:link w:val="HeaderChar"/>
    <w:uiPriority w:val="99"/>
    <w:unhideWhenUsed/>
    <w:rsid w:val="00863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5E3"/>
  </w:style>
  <w:style w:type="paragraph" w:styleId="Footer">
    <w:name w:val="footer"/>
    <w:basedOn w:val="Normal"/>
    <w:link w:val="FooterChar"/>
    <w:uiPriority w:val="99"/>
    <w:unhideWhenUsed/>
    <w:rsid w:val="00863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5E3"/>
  </w:style>
  <w:style w:type="paragraph" w:styleId="TOC1">
    <w:name w:val="toc 1"/>
    <w:basedOn w:val="Normal"/>
    <w:next w:val="Normal"/>
    <w:autoRedefine/>
    <w:uiPriority w:val="39"/>
    <w:unhideWhenUsed/>
    <w:rsid w:val="008635E3"/>
    <w:pPr>
      <w:spacing w:after="100"/>
    </w:pPr>
  </w:style>
  <w:style w:type="paragraph" w:styleId="TOC2">
    <w:name w:val="toc 2"/>
    <w:basedOn w:val="Normal"/>
    <w:next w:val="Normal"/>
    <w:autoRedefine/>
    <w:uiPriority w:val="39"/>
    <w:unhideWhenUsed/>
    <w:rsid w:val="008635E3"/>
    <w:pPr>
      <w:spacing w:after="100"/>
      <w:ind w:left="220"/>
    </w:pPr>
  </w:style>
  <w:style w:type="character" w:styleId="Hyperlink">
    <w:name w:val="Hyperlink"/>
    <w:basedOn w:val="DefaultParagraphFont"/>
    <w:uiPriority w:val="99"/>
    <w:unhideWhenUsed/>
    <w:rsid w:val="008635E3"/>
    <w:rPr>
      <w:color w:val="0000FF" w:themeColor="hyperlink"/>
      <w:u w:val="single"/>
    </w:rPr>
  </w:style>
  <w:style w:type="paragraph" w:styleId="TOCHeading">
    <w:name w:val="TOC Heading"/>
    <w:basedOn w:val="Heading1"/>
    <w:next w:val="Normal"/>
    <w:uiPriority w:val="39"/>
    <w:unhideWhenUsed/>
    <w:qFormat/>
    <w:rsid w:val="008635E3"/>
    <w:pPr>
      <w:numPr>
        <w:numId w:val="0"/>
      </w:numPr>
      <w:pBdr>
        <w:bottom w:val="none" w:sz="0" w:space="0" w:color="auto"/>
      </w:pBdr>
      <w:spacing w:line="276" w:lineRule="auto"/>
      <w:jc w:val="left"/>
      <w:outlineLvl w:val="9"/>
    </w:pPr>
    <w:rPr>
      <w:color w:val="365F91" w:themeColor="accent1" w:themeShade="BF"/>
      <w:lang w:val="en-US" w:eastAsia="ja-JP"/>
    </w:rPr>
  </w:style>
  <w:style w:type="character" w:styleId="CommentReference">
    <w:name w:val="annotation reference"/>
    <w:basedOn w:val="DefaultParagraphFont"/>
    <w:uiPriority w:val="99"/>
    <w:semiHidden/>
    <w:unhideWhenUsed/>
    <w:rsid w:val="008635E3"/>
    <w:rPr>
      <w:sz w:val="16"/>
      <w:szCs w:val="16"/>
    </w:rPr>
  </w:style>
  <w:style w:type="paragraph" w:styleId="CommentText">
    <w:name w:val="annotation text"/>
    <w:basedOn w:val="Normal"/>
    <w:link w:val="CommentTextChar"/>
    <w:uiPriority w:val="99"/>
    <w:unhideWhenUsed/>
    <w:rsid w:val="008635E3"/>
    <w:pPr>
      <w:spacing w:line="240" w:lineRule="auto"/>
    </w:pPr>
    <w:rPr>
      <w:sz w:val="20"/>
      <w:szCs w:val="20"/>
    </w:rPr>
  </w:style>
  <w:style w:type="character" w:customStyle="1" w:styleId="CommentTextChar">
    <w:name w:val="Comment Text Char"/>
    <w:basedOn w:val="DefaultParagraphFont"/>
    <w:link w:val="CommentText"/>
    <w:uiPriority w:val="99"/>
    <w:rsid w:val="008635E3"/>
    <w:rPr>
      <w:sz w:val="20"/>
      <w:szCs w:val="20"/>
    </w:rPr>
  </w:style>
  <w:style w:type="paragraph" w:styleId="CommentSubject">
    <w:name w:val="annotation subject"/>
    <w:basedOn w:val="CommentText"/>
    <w:next w:val="CommentText"/>
    <w:link w:val="CommentSubjectChar"/>
    <w:uiPriority w:val="99"/>
    <w:semiHidden/>
    <w:unhideWhenUsed/>
    <w:rsid w:val="008635E3"/>
    <w:rPr>
      <w:b/>
      <w:bCs/>
    </w:rPr>
  </w:style>
  <w:style w:type="character" w:customStyle="1" w:styleId="CommentSubjectChar">
    <w:name w:val="Comment Subject Char"/>
    <w:basedOn w:val="CommentTextChar"/>
    <w:link w:val="CommentSubject"/>
    <w:uiPriority w:val="99"/>
    <w:semiHidden/>
    <w:rsid w:val="008635E3"/>
    <w:rPr>
      <w:b/>
      <w:bCs/>
      <w:sz w:val="20"/>
      <w:szCs w:val="20"/>
    </w:rPr>
  </w:style>
  <w:style w:type="character" w:styleId="PlaceholderText">
    <w:name w:val="Placeholder Text"/>
    <w:basedOn w:val="DefaultParagraphFont"/>
    <w:uiPriority w:val="99"/>
    <w:semiHidden/>
    <w:rsid w:val="008635E3"/>
    <w:rPr>
      <w:color w:val="808080"/>
    </w:rPr>
  </w:style>
  <w:style w:type="paragraph" w:customStyle="1" w:styleId="impcNormal">
    <w:name w:val="impcNormal"/>
    <w:basedOn w:val="Normal"/>
    <w:link w:val="impcNormalChar"/>
    <w:qFormat/>
    <w:rsid w:val="008635E3"/>
    <w:pPr>
      <w:spacing w:before="80" w:after="60" w:line="240" w:lineRule="auto"/>
    </w:pPr>
    <w:rPr>
      <w:rFonts w:ascii="Palatino Linotype" w:eastAsia="Times New Roman" w:hAnsi="Palatino Linotype" w:cs="Times New Roman"/>
      <w:sz w:val="20"/>
      <w:szCs w:val="19"/>
      <w:lang w:val="en-US"/>
    </w:rPr>
  </w:style>
  <w:style w:type="character" w:customStyle="1" w:styleId="impcNormalChar">
    <w:name w:val="impcNormal Char"/>
    <w:basedOn w:val="DefaultParagraphFont"/>
    <w:link w:val="impcNormal"/>
    <w:rsid w:val="008635E3"/>
    <w:rPr>
      <w:rFonts w:ascii="Palatino Linotype" w:eastAsia="Times New Roman" w:hAnsi="Palatino Linotype" w:cs="Times New Roman"/>
      <w:sz w:val="20"/>
      <w:szCs w:val="19"/>
      <w:lang w:val="en-US"/>
    </w:rPr>
  </w:style>
  <w:style w:type="paragraph" w:customStyle="1" w:styleId="Appendix">
    <w:name w:val="Appendix"/>
    <w:basedOn w:val="Abstract"/>
    <w:next w:val="Normal"/>
    <w:link w:val="AppendixChar"/>
    <w:qFormat/>
    <w:rsid w:val="008635E3"/>
    <w:pPr>
      <w:numPr>
        <w:numId w:val="2"/>
      </w:numPr>
    </w:pPr>
    <w:rPr>
      <w:rFonts w:eastAsiaTheme="majorEastAsia" w:cstheme="majorBidi"/>
    </w:rPr>
  </w:style>
  <w:style w:type="character" w:customStyle="1" w:styleId="AppendixChar">
    <w:name w:val="Appendix Char"/>
    <w:basedOn w:val="Heading1Char"/>
    <w:link w:val="Appendix"/>
    <w:rsid w:val="008635E3"/>
    <w:rPr>
      <w:rFonts w:asciiTheme="majorHAnsi" w:eastAsiaTheme="majorEastAsia" w:hAnsiTheme="majorHAnsi" w:cstheme="majorBidi"/>
      <w:b/>
      <w:bCs w:val="0"/>
      <w:sz w:val="28"/>
      <w:szCs w:val="28"/>
    </w:rPr>
  </w:style>
  <w:style w:type="paragraph" w:customStyle="1" w:styleId="ThesisTable">
    <w:name w:val="ThesisTable"/>
    <w:basedOn w:val="Normal"/>
    <w:link w:val="ThesisTableChar"/>
    <w:rsid w:val="008635E3"/>
    <w:pPr>
      <w:keepNext/>
      <w:spacing w:line="240" w:lineRule="auto"/>
      <w:jc w:val="center"/>
    </w:pPr>
    <w:rPr>
      <w:b/>
      <w:bCs/>
      <w:sz w:val="20"/>
      <w:szCs w:val="18"/>
      <w:lang w:eastAsia="en-ZA"/>
    </w:rPr>
  </w:style>
  <w:style w:type="character" w:customStyle="1" w:styleId="ThesisTableChar">
    <w:name w:val="ThesisTable Char"/>
    <w:basedOn w:val="DefaultParagraphFont"/>
    <w:link w:val="ThesisTable"/>
    <w:rsid w:val="008635E3"/>
    <w:rPr>
      <w:b/>
      <w:bCs/>
      <w:sz w:val="20"/>
      <w:szCs w:val="18"/>
      <w:lang w:eastAsia="en-ZA"/>
    </w:rPr>
  </w:style>
  <w:style w:type="paragraph" w:styleId="Revision">
    <w:name w:val="Revision"/>
    <w:hidden/>
    <w:uiPriority w:val="99"/>
    <w:semiHidden/>
    <w:rsid w:val="008635E3"/>
    <w:pPr>
      <w:spacing w:after="0" w:line="240" w:lineRule="auto"/>
    </w:pPr>
  </w:style>
  <w:style w:type="table" w:customStyle="1" w:styleId="TablesThesis">
    <w:name w:val="TablesThesis"/>
    <w:basedOn w:val="LightGrid"/>
    <w:uiPriority w:val="99"/>
    <w:rsid w:val="008635E3"/>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Space">
    <w:name w:val="TableSpace"/>
    <w:basedOn w:val="ThesisTable"/>
    <w:next w:val="Normal"/>
    <w:link w:val="TableSpaceChar"/>
    <w:qFormat/>
    <w:rsid w:val="008635E3"/>
    <w:pPr>
      <w:spacing w:after="0"/>
    </w:pPr>
    <w:rPr>
      <w:b w:val="0"/>
    </w:rPr>
  </w:style>
  <w:style w:type="character" w:customStyle="1" w:styleId="TableSpaceChar">
    <w:name w:val="TableSpace Char"/>
    <w:basedOn w:val="ThesisTableChar"/>
    <w:link w:val="TableSpace"/>
    <w:rsid w:val="008635E3"/>
    <w:rPr>
      <w:b w:val="0"/>
      <w:bCs/>
      <w:sz w:val="20"/>
      <w:szCs w:val="18"/>
      <w:lang w:eastAsia="en-ZA"/>
    </w:rPr>
  </w:style>
  <w:style w:type="table" w:styleId="LightGrid">
    <w:name w:val="Light Grid"/>
    <w:basedOn w:val="TableNormal"/>
    <w:uiPriority w:val="62"/>
    <w:rsid w:val="008635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8635E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8635E3"/>
    <w:pPr>
      <w:spacing w:after="0" w:line="240" w:lineRule="auto"/>
      <w:ind w:left="720" w:hanging="720"/>
    </w:pPr>
  </w:style>
  <w:style w:type="paragraph" w:customStyle="1" w:styleId="SubsectionTitle">
    <w:name w:val="Subsection Title"/>
    <w:basedOn w:val="Normal"/>
    <w:link w:val="SubsectionTitleCharChar"/>
    <w:autoRedefine/>
    <w:rsid w:val="008635E3"/>
    <w:pPr>
      <w:tabs>
        <w:tab w:val="left" w:pos="-1161"/>
        <w:tab w:val="left" w:pos="-720"/>
        <w:tab w:val="left" w:pos="0"/>
        <w:tab w:val="left" w:pos="360"/>
        <w:tab w:val="left" w:pos="1440"/>
      </w:tabs>
      <w:spacing w:before="200" w:after="200" w:line="240" w:lineRule="auto"/>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8635E3"/>
    <w:rPr>
      <w:rFonts w:ascii="Times New Roman" w:eastAsia="Times New Roman" w:hAnsi="Times New Roman" w:cs="Times New Roman"/>
      <w:i/>
      <w:sz w:val="20"/>
      <w:szCs w:val="20"/>
      <w:lang w:val="en-GB"/>
    </w:rPr>
  </w:style>
  <w:style w:type="paragraph" w:customStyle="1" w:styleId="Style10ptJustified">
    <w:name w:val="Style 10 pt Justified"/>
    <w:basedOn w:val="Normal"/>
    <w:link w:val="Style10ptJustifiedChar"/>
    <w:autoRedefine/>
    <w:rsid w:val="008635E3"/>
    <w:pPr>
      <w:snapToGrid w:val="0"/>
      <w:spacing w:before="40" w:line="240" w:lineRule="auto"/>
    </w:pPr>
    <w:rPr>
      <w:rFonts w:ascii="Times New Roman" w:eastAsia="Times New Roman" w:hAnsi="Times New Roman" w:cs="Times New Roman"/>
      <w:iCs/>
      <w:sz w:val="20"/>
      <w:szCs w:val="20"/>
      <w:lang w:val="en-GB"/>
    </w:rPr>
  </w:style>
  <w:style w:type="character" w:customStyle="1" w:styleId="Style10ptJustifiedChar">
    <w:name w:val="Style 10 pt Justified Char"/>
    <w:link w:val="Style10ptJustified"/>
    <w:rsid w:val="008635E3"/>
    <w:rPr>
      <w:rFonts w:ascii="Times New Roman" w:eastAsia="Times New Roman" w:hAnsi="Times New Roman" w:cs="Times New Roman"/>
      <w:iCs/>
      <w:sz w:val="20"/>
      <w:szCs w:val="20"/>
      <w:lang w:val="en-GB"/>
    </w:rPr>
  </w:style>
  <w:style w:type="paragraph" w:styleId="TOC3">
    <w:name w:val="toc 3"/>
    <w:basedOn w:val="Normal"/>
    <w:next w:val="Normal"/>
    <w:autoRedefine/>
    <w:uiPriority w:val="39"/>
    <w:unhideWhenUsed/>
    <w:rsid w:val="008635E3"/>
    <w:pPr>
      <w:spacing w:after="100"/>
      <w:ind w:left="440"/>
    </w:pPr>
  </w:style>
  <w:style w:type="paragraph" w:styleId="NoSpacing">
    <w:name w:val="No Spacing"/>
    <w:link w:val="NoSpacingChar"/>
    <w:uiPriority w:val="1"/>
    <w:qFormat/>
    <w:rsid w:val="008635E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635E3"/>
    <w:rPr>
      <w:rFonts w:eastAsiaTheme="minorEastAsia"/>
      <w:lang w:val="en-US" w:eastAsia="ja-JP"/>
    </w:rPr>
  </w:style>
  <w:style w:type="paragraph" w:customStyle="1" w:styleId="impcFigure">
    <w:name w:val="impcFigure"/>
    <w:basedOn w:val="Normal"/>
    <w:link w:val="impcFigureChar"/>
    <w:qFormat/>
    <w:rsid w:val="008635E3"/>
    <w:pPr>
      <w:spacing w:before="320" w:after="400" w:line="240" w:lineRule="auto"/>
      <w:jc w:val="center"/>
    </w:pPr>
    <w:rPr>
      <w:rFonts w:ascii="Palatino Linotype" w:eastAsia="Times New Roman" w:hAnsi="Palatino Linotype" w:cs="Times New Roman"/>
      <w:sz w:val="18"/>
      <w:szCs w:val="19"/>
      <w:lang w:val="en-US"/>
    </w:rPr>
  </w:style>
  <w:style w:type="character" w:customStyle="1" w:styleId="impcFigureChar">
    <w:name w:val="impcFigure Char"/>
    <w:basedOn w:val="DefaultParagraphFont"/>
    <w:link w:val="impcFigure"/>
    <w:rsid w:val="008635E3"/>
    <w:rPr>
      <w:rFonts w:ascii="Palatino Linotype" w:eastAsia="Times New Roman" w:hAnsi="Palatino Linotype" w:cs="Times New Roman"/>
      <w:sz w:val="18"/>
      <w:szCs w:val="19"/>
      <w:lang w:val="en-US"/>
    </w:rPr>
  </w:style>
  <w:style w:type="paragraph" w:styleId="TableofFigures">
    <w:name w:val="table of figures"/>
    <w:basedOn w:val="Normal"/>
    <w:next w:val="Normal"/>
    <w:uiPriority w:val="99"/>
    <w:unhideWhenUsed/>
    <w:rsid w:val="008635E3"/>
    <w:pPr>
      <w:spacing w:after="0"/>
    </w:pPr>
  </w:style>
  <w:style w:type="paragraph" w:customStyle="1" w:styleId="SectionTitle">
    <w:name w:val="Section Title"/>
    <w:basedOn w:val="Normal"/>
    <w:link w:val="SectionTitleChar"/>
    <w:autoRedefine/>
    <w:rsid w:val="008635E3"/>
    <w:pPr>
      <w:snapToGrid w:val="0"/>
      <w:spacing w:before="120" w:line="240" w:lineRule="auto"/>
      <w:jc w:val="center"/>
    </w:pPr>
    <w:rPr>
      <w:rFonts w:ascii="Times New Roman" w:eastAsia="Times New Roman" w:hAnsi="Times New Roman" w:cs="Times New Roman"/>
      <w:sz w:val="20"/>
      <w:szCs w:val="20"/>
      <w:lang w:val="en-GB"/>
    </w:rPr>
  </w:style>
  <w:style w:type="character" w:customStyle="1" w:styleId="SectionTitleChar">
    <w:name w:val="Section Title Char"/>
    <w:basedOn w:val="DefaultParagraphFont"/>
    <w:link w:val="SectionTitle"/>
    <w:rsid w:val="008635E3"/>
    <w:rPr>
      <w:rFonts w:ascii="Times New Roman" w:eastAsia="Times New Roman" w:hAnsi="Times New Roman" w:cs="Times New Roman"/>
      <w:sz w:val="20"/>
      <w:szCs w:val="20"/>
      <w:lang w:val="en-GB"/>
    </w:rPr>
  </w:style>
  <w:style w:type="paragraph" w:styleId="EndnoteText">
    <w:name w:val="endnote text"/>
    <w:basedOn w:val="Normal"/>
    <w:link w:val="EndnoteTextChar"/>
    <w:uiPriority w:val="99"/>
    <w:semiHidden/>
    <w:unhideWhenUsed/>
    <w:rsid w:val="008635E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35E3"/>
    <w:rPr>
      <w:sz w:val="20"/>
      <w:szCs w:val="20"/>
    </w:rPr>
  </w:style>
  <w:style w:type="character" w:styleId="EndnoteReference">
    <w:name w:val="endnote reference"/>
    <w:basedOn w:val="DefaultParagraphFont"/>
    <w:uiPriority w:val="99"/>
    <w:semiHidden/>
    <w:unhideWhenUsed/>
    <w:rsid w:val="008635E3"/>
    <w:rPr>
      <w:vertAlign w:val="superscript"/>
    </w:rPr>
  </w:style>
  <w:style w:type="paragraph" w:customStyle="1" w:styleId="AppendixHeading2">
    <w:name w:val="AppendixHeading2"/>
    <w:basedOn w:val="Heading2"/>
    <w:link w:val="AppendixHeading2Char"/>
    <w:qFormat/>
    <w:rsid w:val="008635E3"/>
    <w:pPr>
      <w:numPr>
        <w:numId w:val="0"/>
      </w:numPr>
      <w:spacing w:line="276" w:lineRule="auto"/>
      <w:ind w:left="792" w:hanging="432"/>
      <w:jc w:val="left"/>
    </w:pPr>
  </w:style>
  <w:style w:type="character" w:customStyle="1" w:styleId="AppendixHeading2Char">
    <w:name w:val="AppendixHeading2 Char"/>
    <w:basedOn w:val="Heading2Char"/>
    <w:link w:val="AppendixHeading2"/>
    <w:rsid w:val="008635E3"/>
    <w:rPr>
      <w:rFonts w:asciiTheme="majorHAnsi" w:eastAsiaTheme="majorEastAsia" w:hAnsiTheme="majorHAnsi" w:cstheme="majorBidi"/>
      <w:b/>
      <w:bCs/>
      <w:sz w:val="26"/>
      <w:szCs w:val="26"/>
    </w:rPr>
  </w:style>
  <w:style w:type="table" w:customStyle="1" w:styleId="LightGrid-Accent11">
    <w:name w:val="Light Grid - Accent 11"/>
    <w:basedOn w:val="TableNormal"/>
    <w:uiPriority w:val="62"/>
    <w:rsid w:val="008635E3"/>
    <w:pPr>
      <w:spacing w:after="0" w:line="240" w:lineRule="auto"/>
    </w:pPr>
    <w:rPr>
      <w:lang w:val="af-Z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
    <w:name w:val="Light Shading"/>
    <w:basedOn w:val="TableNormal"/>
    <w:uiPriority w:val="60"/>
    <w:rsid w:val="008635E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8635E3"/>
    <w:pPr>
      <w:spacing w:after="100" w:line="276" w:lineRule="auto"/>
      <w:ind w:left="660"/>
      <w:jc w:val="left"/>
    </w:pPr>
    <w:rPr>
      <w:rFonts w:eastAsiaTheme="minorEastAsia"/>
      <w:lang w:eastAsia="en-ZA"/>
    </w:rPr>
  </w:style>
  <w:style w:type="paragraph" w:styleId="TOC5">
    <w:name w:val="toc 5"/>
    <w:basedOn w:val="Normal"/>
    <w:next w:val="Normal"/>
    <w:autoRedefine/>
    <w:uiPriority w:val="39"/>
    <w:unhideWhenUsed/>
    <w:rsid w:val="008635E3"/>
    <w:pPr>
      <w:spacing w:after="100" w:line="276" w:lineRule="auto"/>
      <w:ind w:left="880"/>
      <w:jc w:val="left"/>
    </w:pPr>
    <w:rPr>
      <w:rFonts w:eastAsiaTheme="minorEastAsia"/>
      <w:lang w:eastAsia="en-ZA"/>
    </w:rPr>
  </w:style>
  <w:style w:type="paragraph" w:styleId="TOC6">
    <w:name w:val="toc 6"/>
    <w:basedOn w:val="Normal"/>
    <w:next w:val="Normal"/>
    <w:autoRedefine/>
    <w:uiPriority w:val="39"/>
    <w:unhideWhenUsed/>
    <w:rsid w:val="008635E3"/>
    <w:pPr>
      <w:spacing w:after="100" w:line="276" w:lineRule="auto"/>
      <w:ind w:left="1100"/>
      <w:jc w:val="left"/>
    </w:pPr>
    <w:rPr>
      <w:rFonts w:eastAsiaTheme="minorEastAsia"/>
      <w:lang w:eastAsia="en-ZA"/>
    </w:rPr>
  </w:style>
  <w:style w:type="paragraph" w:styleId="TOC7">
    <w:name w:val="toc 7"/>
    <w:basedOn w:val="Normal"/>
    <w:next w:val="Normal"/>
    <w:autoRedefine/>
    <w:uiPriority w:val="39"/>
    <w:unhideWhenUsed/>
    <w:rsid w:val="008635E3"/>
    <w:pPr>
      <w:spacing w:after="100" w:line="276" w:lineRule="auto"/>
      <w:ind w:left="1320"/>
      <w:jc w:val="left"/>
    </w:pPr>
    <w:rPr>
      <w:rFonts w:eastAsiaTheme="minorEastAsia"/>
      <w:lang w:eastAsia="en-ZA"/>
    </w:rPr>
  </w:style>
  <w:style w:type="paragraph" w:styleId="TOC8">
    <w:name w:val="toc 8"/>
    <w:basedOn w:val="Normal"/>
    <w:next w:val="Normal"/>
    <w:autoRedefine/>
    <w:uiPriority w:val="39"/>
    <w:unhideWhenUsed/>
    <w:rsid w:val="008635E3"/>
    <w:pPr>
      <w:spacing w:after="100" w:line="276" w:lineRule="auto"/>
      <w:ind w:left="1540"/>
      <w:jc w:val="left"/>
    </w:pPr>
    <w:rPr>
      <w:rFonts w:eastAsiaTheme="minorEastAsia"/>
      <w:lang w:eastAsia="en-ZA"/>
    </w:rPr>
  </w:style>
  <w:style w:type="paragraph" w:styleId="TOC9">
    <w:name w:val="toc 9"/>
    <w:basedOn w:val="Normal"/>
    <w:next w:val="Normal"/>
    <w:autoRedefine/>
    <w:uiPriority w:val="39"/>
    <w:unhideWhenUsed/>
    <w:rsid w:val="008635E3"/>
    <w:pPr>
      <w:spacing w:after="100" w:line="276" w:lineRule="auto"/>
      <w:ind w:left="1760"/>
      <w:jc w:val="left"/>
    </w:pPr>
    <w:rPr>
      <w:rFonts w:eastAsiaTheme="minorEastAsia"/>
      <w:lang w:eastAsia="en-ZA"/>
    </w:rPr>
  </w:style>
  <w:style w:type="paragraph" w:customStyle="1" w:styleId="StyleStyle10ptItalic">
    <w:name w:val="Style Style 10 pt Italic +"/>
    <w:basedOn w:val="SubsectionTitle"/>
    <w:autoRedefine/>
    <w:rsid w:val="008635E3"/>
    <w:pPr>
      <w:snapToGrid w:val="0"/>
      <w:spacing w:before="120" w:after="120"/>
    </w:pPr>
    <w:rPr>
      <w:iCs/>
    </w:rPr>
  </w:style>
  <w:style w:type="paragraph" w:customStyle="1" w:styleId="Authoraddress">
    <w:name w:val="Author address"/>
    <w:basedOn w:val="StyleStyle10ptItalic"/>
    <w:autoRedefine/>
    <w:rsid w:val="008635E3"/>
    <w:pPr>
      <w:spacing w:after="240"/>
      <w:jc w:val="center"/>
    </w:pPr>
  </w:style>
  <w:style w:type="paragraph" w:customStyle="1" w:styleId="Style10ptBoldCenteredLeft15cmRight155cm">
    <w:name w:val="Style 10 pt Bold Centered Left:  1.5 cm Right:  1.55 cm"/>
    <w:basedOn w:val="Normal"/>
    <w:autoRedefine/>
    <w:rsid w:val="008635E3"/>
    <w:pPr>
      <w:spacing w:after="0" w:line="240" w:lineRule="auto"/>
      <w:jc w:val="center"/>
    </w:pPr>
    <w:rPr>
      <w:rFonts w:ascii="Times New Roman" w:eastAsia="Times New Roman" w:hAnsi="Times New Roman" w:cs="Times New Roman"/>
      <w:b/>
      <w:bCs/>
      <w:sz w:val="20"/>
      <w:szCs w:val="20"/>
      <w:lang w:val="en-GB"/>
    </w:rPr>
  </w:style>
  <w:style w:type="paragraph" w:customStyle="1" w:styleId="StyleAbstract10pt">
    <w:name w:val="Style Abstract + 10 pt"/>
    <w:basedOn w:val="Abstract"/>
    <w:link w:val="StyleAbstract10ptChar"/>
    <w:rsid w:val="008635E3"/>
    <w:pPr>
      <w:pBdr>
        <w:bottom w:val="none" w:sz="0" w:space="0" w:color="auto"/>
      </w:pBdr>
      <w:autoSpaceDE w:val="0"/>
      <w:autoSpaceDN w:val="0"/>
      <w:spacing w:before="80" w:after="80" w:line="240" w:lineRule="auto"/>
      <w:ind w:firstLine="204"/>
      <w:contextualSpacing w:val="0"/>
      <w:outlineLvl w:val="9"/>
    </w:pPr>
    <w:rPr>
      <w:rFonts w:ascii="Times New Roman" w:eastAsia="Times New Roman" w:hAnsi="Times New Roman" w:cs="Times New Roman"/>
      <w:bCs/>
      <w:sz w:val="20"/>
      <w:szCs w:val="18"/>
      <w:lang w:val="en-US"/>
    </w:rPr>
  </w:style>
  <w:style w:type="character" w:customStyle="1" w:styleId="StyleAbstract10ptChar">
    <w:name w:val="Style Abstract + 10 pt Char"/>
    <w:basedOn w:val="AbstractChar"/>
    <w:link w:val="StyleAbstract10pt"/>
    <w:rsid w:val="008635E3"/>
    <w:rPr>
      <w:rFonts w:ascii="Times New Roman" w:eastAsia="Times New Roman" w:hAnsi="Times New Roman" w:cs="Times New Roman"/>
      <w:b/>
      <w:bCs/>
      <w:sz w:val="20"/>
      <w:szCs w:val="18"/>
      <w:lang w:val="en-US"/>
    </w:rPr>
  </w:style>
  <w:style w:type="paragraph" w:customStyle="1" w:styleId="StyleStyleAbstractLeft15cmFirstline0cmRight155">
    <w:name w:val="Style Style Abstract + Left:  1.5 cm First line:  0 cm Right:  1.55..."/>
    <w:basedOn w:val="Normal"/>
    <w:rsid w:val="008635E3"/>
    <w:pPr>
      <w:pBdr>
        <w:top w:val="single" w:sz="4" w:space="4" w:color="auto"/>
        <w:bottom w:val="single" w:sz="4" w:space="4" w:color="auto"/>
      </w:pBdr>
      <w:autoSpaceDE w:val="0"/>
      <w:autoSpaceDN w:val="0"/>
      <w:snapToGrid w:val="0"/>
      <w:spacing w:before="80" w:after="80" w:line="240" w:lineRule="auto"/>
      <w:ind w:left="851" w:right="879"/>
    </w:pPr>
    <w:rPr>
      <w:rFonts w:ascii="Times New Roman" w:eastAsia="Times New Roman" w:hAnsi="Times New Roman" w:cs="Times New Roman"/>
      <w:b/>
      <w:bCs/>
      <w:sz w:val="18"/>
      <w:szCs w:val="20"/>
      <w:lang w:val="en-US"/>
    </w:rPr>
  </w:style>
  <w:style w:type="paragraph" w:customStyle="1" w:styleId="IfacNormal">
    <w:name w:val="Ifac Normal"/>
    <w:basedOn w:val="Style10ptJustified"/>
    <w:link w:val="IfacNormalChar"/>
    <w:rsid w:val="008635E3"/>
  </w:style>
  <w:style w:type="paragraph" w:customStyle="1" w:styleId="IfacHeading1">
    <w:name w:val="Ifac Heading 1"/>
    <w:basedOn w:val="SectionTitle"/>
    <w:link w:val="IfacHeading1Char"/>
    <w:rsid w:val="008635E3"/>
  </w:style>
  <w:style w:type="character" w:customStyle="1" w:styleId="IfacNormalChar">
    <w:name w:val="Ifac Normal Char"/>
    <w:basedOn w:val="Style10ptJustifiedChar"/>
    <w:link w:val="IfacNormal"/>
    <w:rsid w:val="008635E3"/>
    <w:rPr>
      <w:rFonts w:ascii="Times New Roman" w:eastAsia="Times New Roman" w:hAnsi="Times New Roman" w:cs="Times New Roman"/>
      <w:iCs/>
      <w:sz w:val="20"/>
      <w:szCs w:val="20"/>
      <w:lang w:val="en-GB"/>
    </w:rPr>
  </w:style>
  <w:style w:type="character" w:customStyle="1" w:styleId="IfacHeading1Char">
    <w:name w:val="Ifac Heading 1 Char"/>
    <w:basedOn w:val="SectionTitleChar"/>
    <w:link w:val="IfacHeading1"/>
    <w:rsid w:val="008635E3"/>
    <w:rPr>
      <w:rFonts w:ascii="Times New Roman" w:eastAsia="Times New Roman" w:hAnsi="Times New Roman" w:cs="Times New Roman"/>
      <w:sz w:val="20"/>
      <w:szCs w:val="20"/>
      <w:lang w:val="en-GB"/>
    </w:rPr>
  </w:style>
  <w:style w:type="paragraph" w:customStyle="1" w:styleId="impcTable">
    <w:name w:val="impcTable"/>
    <w:basedOn w:val="Normal"/>
    <w:link w:val="impcTableChar"/>
    <w:qFormat/>
    <w:rsid w:val="008635E3"/>
    <w:pPr>
      <w:spacing w:after="0" w:line="240" w:lineRule="auto"/>
      <w:jc w:val="left"/>
    </w:pPr>
    <w:rPr>
      <w:rFonts w:ascii="Palatino Linotype" w:eastAsia="Times" w:hAnsi="Palatino Linotype" w:cs="Times New Roman"/>
      <w:sz w:val="18"/>
      <w:szCs w:val="18"/>
      <w:lang w:val="en-US"/>
    </w:rPr>
  </w:style>
  <w:style w:type="character" w:customStyle="1" w:styleId="impcTableChar">
    <w:name w:val="impcTable Char"/>
    <w:basedOn w:val="DefaultParagraphFont"/>
    <w:link w:val="impcTable"/>
    <w:rsid w:val="008635E3"/>
    <w:rPr>
      <w:rFonts w:ascii="Palatino Linotype" w:eastAsia="Times" w:hAnsi="Palatino Linotype" w:cs="Times New Roman"/>
      <w:sz w:val="18"/>
      <w:szCs w:val="18"/>
      <w:lang w:val="en-US"/>
    </w:rPr>
  </w:style>
  <w:style w:type="paragraph" w:customStyle="1" w:styleId="022TtuloPrincipal">
    <w:name w:val="02.2 Título Principal"/>
    <w:basedOn w:val="Heading1"/>
    <w:link w:val="022TtuloPrincipalChar"/>
    <w:qFormat/>
    <w:rsid w:val="008635E3"/>
    <w:pPr>
      <w:keepLines w:val="0"/>
      <w:numPr>
        <w:numId w:val="0"/>
      </w:numPr>
      <w:pBdr>
        <w:bottom w:val="none" w:sz="0" w:space="0" w:color="auto"/>
      </w:pBdr>
      <w:autoSpaceDE w:val="0"/>
      <w:autoSpaceDN w:val="0"/>
      <w:spacing w:after="120" w:line="240" w:lineRule="auto"/>
      <w:jc w:val="left"/>
    </w:pPr>
    <w:rPr>
      <w:rFonts w:ascii="Palatino Linotype" w:eastAsia="Times New Roman" w:hAnsi="Palatino Linotype" w:cs="Arial"/>
      <w:caps/>
      <w:kern w:val="32"/>
      <w:sz w:val="22"/>
      <w:szCs w:val="32"/>
      <w:lang w:val="en-GB" w:eastAsia="fr-CA"/>
    </w:rPr>
  </w:style>
  <w:style w:type="paragraph" w:customStyle="1" w:styleId="021TtuloPapers">
    <w:name w:val="02.1 Título Papers"/>
    <w:basedOn w:val="Normal"/>
    <w:rsid w:val="008635E3"/>
    <w:pPr>
      <w:spacing w:before="280" w:after="400" w:line="216" w:lineRule="auto"/>
      <w:jc w:val="left"/>
    </w:pPr>
    <w:rPr>
      <w:rFonts w:ascii="Palatino Linotype" w:eastAsia="Times New Roman" w:hAnsi="Palatino Linotype" w:cs="Times New Roman"/>
      <w:b/>
      <w:bCs/>
      <w:sz w:val="36"/>
      <w:szCs w:val="20"/>
      <w:lang w:val="en-GB"/>
    </w:rPr>
  </w:style>
  <w:style w:type="paragraph" w:customStyle="1" w:styleId="011Autores">
    <w:name w:val="01.1 Autores"/>
    <w:basedOn w:val="Normal"/>
    <w:rsid w:val="008635E3"/>
    <w:pPr>
      <w:spacing w:before="160" w:after="0" w:line="240" w:lineRule="auto"/>
      <w:ind w:left="709"/>
      <w:jc w:val="left"/>
    </w:pPr>
    <w:rPr>
      <w:rFonts w:ascii="Palatino Linotype" w:eastAsia="Times New Roman" w:hAnsi="Palatino Linotype" w:cs="Times New Roman"/>
      <w:b/>
      <w:bCs/>
      <w:sz w:val="20"/>
      <w:szCs w:val="20"/>
      <w:lang w:val="en-GB"/>
    </w:rPr>
  </w:style>
  <w:style w:type="paragraph" w:customStyle="1" w:styleId="impcSectionHeading">
    <w:name w:val="impcSectionHeading"/>
    <w:basedOn w:val="022TtuloPrincipal"/>
    <w:link w:val="impcSectionHeadingChar"/>
    <w:qFormat/>
    <w:rsid w:val="008635E3"/>
  </w:style>
  <w:style w:type="paragraph" w:customStyle="1" w:styleId="impcSubsection1">
    <w:name w:val="impcSubsection1"/>
    <w:basedOn w:val="Normal"/>
    <w:link w:val="impcSubsection1Char"/>
    <w:qFormat/>
    <w:rsid w:val="008635E3"/>
    <w:pPr>
      <w:spacing w:before="280" w:line="240" w:lineRule="auto"/>
    </w:pPr>
    <w:rPr>
      <w:rFonts w:ascii="Palatino Linotype" w:eastAsia="Times" w:hAnsi="Palatino Linotype" w:cs="Times New Roman"/>
      <w:b/>
      <w:szCs w:val="20"/>
      <w:lang w:val="en-GB"/>
    </w:rPr>
  </w:style>
  <w:style w:type="character" w:customStyle="1" w:styleId="022TtuloPrincipalChar">
    <w:name w:val="02.2 Título Principal Char"/>
    <w:link w:val="022TtuloPrincipal"/>
    <w:rsid w:val="008635E3"/>
    <w:rPr>
      <w:rFonts w:ascii="Palatino Linotype" w:eastAsia="Times New Roman" w:hAnsi="Palatino Linotype" w:cs="Arial"/>
      <w:b/>
      <w:bCs/>
      <w:caps/>
      <w:kern w:val="32"/>
      <w:szCs w:val="32"/>
      <w:lang w:val="en-GB" w:eastAsia="fr-CA"/>
    </w:rPr>
  </w:style>
  <w:style w:type="character" w:customStyle="1" w:styleId="impcSectionHeadingChar">
    <w:name w:val="impcSectionHeading Char"/>
    <w:basedOn w:val="022TtuloPrincipalChar"/>
    <w:link w:val="impcSectionHeading"/>
    <w:rsid w:val="008635E3"/>
    <w:rPr>
      <w:rFonts w:ascii="Palatino Linotype" w:eastAsia="Times New Roman" w:hAnsi="Palatino Linotype" w:cs="Arial"/>
      <w:b/>
      <w:bCs/>
      <w:caps/>
      <w:kern w:val="32"/>
      <w:szCs w:val="32"/>
      <w:lang w:val="en-GB" w:eastAsia="fr-CA"/>
    </w:rPr>
  </w:style>
  <w:style w:type="paragraph" w:customStyle="1" w:styleId="impcSubsection2">
    <w:name w:val="impcSubsection2"/>
    <w:basedOn w:val="Normal"/>
    <w:link w:val="impcSubsection2Char"/>
    <w:qFormat/>
    <w:rsid w:val="008635E3"/>
    <w:pPr>
      <w:spacing w:before="280" w:line="240" w:lineRule="auto"/>
    </w:pPr>
    <w:rPr>
      <w:rFonts w:ascii="Palatino Linotype" w:eastAsia="Times" w:hAnsi="Palatino Linotype" w:cs="Times New Roman"/>
      <w:b/>
      <w:i/>
      <w:szCs w:val="20"/>
      <w:lang w:val="en-GB"/>
    </w:rPr>
  </w:style>
  <w:style w:type="character" w:customStyle="1" w:styleId="impcSubsection1Char">
    <w:name w:val="impcSubsection1 Char"/>
    <w:basedOn w:val="DefaultParagraphFont"/>
    <w:link w:val="impcSubsection1"/>
    <w:rsid w:val="008635E3"/>
    <w:rPr>
      <w:rFonts w:ascii="Palatino Linotype" w:eastAsia="Times" w:hAnsi="Palatino Linotype" w:cs="Times New Roman"/>
      <w:b/>
      <w:szCs w:val="20"/>
      <w:lang w:val="en-GB"/>
    </w:rPr>
  </w:style>
  <w:style w:type="character" w:customStyle="1" w:styleId="impcSubsection2Char">
    <w:name w:val="impcSubsection2 Char"/>
    <w:basedOn w:val="DefaultParagraphFont"/>
    <w:link w:val="impcSubsection2"/>
    <w:rsid w:val="008635E3"/>
    <w:rPr>
      <w:rFonts w:ascii="Palatino Linotype" w:eastAsia="Times" w:hAnsi="Palatino Linotype" w:cs="Times New Roman"/>
      <w:b/>
      <w:i/>
      <w:szCs w:val="20"/>
      <w:lang w:val="en-GB"/>
    </w:rPr>
  </w:style>
  <w:style w:type="paragraph" w:styleId="Title">
    <w:name w:val="Title"/>
    <w:basedOn w:val="Normal"/>
    <w:link w:val="TitleChar"/>
    <w:qFormat/>
    <w:rsid w:val="008635E3"/>
    <w:pPr>
      <w:spacing w:after="0" w:line="240" w:lineRule="auto"/>
      <w:jc w:val="center"/>
    </w:pPr>
    <w:rPr>
      <w:rFonts w:ascii="Algerian" w:eastAsia="Times New Roman" w:hAnsi="Algerian" w:cs="Times New Roman"/>
      <w:sz w:val="72"/>
      <w:szCs w:val="20"/>
      <w:lang w:val="en-US"/>
    </w:rPr>
  </w:style>
  <w:style w:type="character" w:customStyle="1" w:styleId="TitleChar">
    <w:name w:val="Title Char"/>
    <w:basedOn w:val="DefaultParagraphFont"/>
    <w:link w:val="Title"/>
    <w:rsid w:val="008635E3"/>
    <w:rPr>
      <w:rFonts w:ascii="Algerian" w:eastAsia="Times New Roman" w:hAnsi="Algerian" w:cs="Times New Roman"/>
      <w:sz w:val="7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47248-3E80-497F-9D89-855BD4189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1334</Words>
  <Characters>7609</Characters>
  <Application>Microsoft Office Word</Application>
  <DocSecurity>0</DocSecurity>
  <Lines>63</Lines>
  <Paragraphs>17</Paragraphs>
  <ScaleCrop>false</ScaleCrop>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Lindner, BS, Mnr &lt;blindner@sun.ac.za&gt;</dc:creator>
  <cp:lastModifiedBy>Lindner, BS, Mnr &lt;blindner@sun.ac.za&gt;</cp:lastModifiedBy>
  <cp:revision>6</cp:revision>
  <dcterms:created xsi:type="dcterms:W3CDTF">2014-11-28T06:24:00Z</dcterms:created>
  <dcterms:modified xsi:type="dcterms:W3CDTF">2017-08-01T11:40:00Z</dcterms:modified>
</cp:coreProperties>
</file>