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line="360" w:lineRule="atLeast"/>
        <w:rPr>
          <w:rFonts w:ascii="华文中宋" w:hAnsi="华文中宋" w:eastAsia="华文中宋" w:cs="Arial"/>
          <w:b/>
          <w:bCs/>
          <w:color w:val="333333"/>
          <w:kern w:val="0"/>
          <w:sz w:val="56"/>
          <w:szCs w:val="56"/>
        </w:rPr>
      </w:pPr>
      <w:r>
        <w:rPr>
          <w:rFonts w:ascii="华文中宋" w:hAnsi="华文中宋" w:eastAsia="华文中宋" w:cs="Arial"/>
          <w:b/>
          <w:bCs/>
          <w:color w:val="333333"/>
          <w:kern w:val="0"/>
          <w:sz w:val="56"/>
          <w:szCs w:val="56"/>
        </w:rPr>
        <w:drawing>
          <wp:anchor distT="0" distB="0" distL="114300" distR="114300" simplePos="0" relativeHeight="251660288" behindDoc="0" locked="0" layoutInCell="1" allowOverlap="1">
            <wp:simplePos x="0" y="0"/>
            <wp:positionH relativeFrom="column">
              <wp:posOffset>2367915</wp:posOffset>
            </wp:positionH>
            <wp:positionV relativeFrom="paragraph">
              <wp:posOffset>555625</wp:posOffset>
            </wp:positionV>
            <wp:extent cx="2465705" cy="391795"/>
            <wp:effectExtent l="0" t="0" r="0" b="8255"/>
            <wp:wrapNone/>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5"/>
                    <a:stretch>
                      <a:fillRect/>
                    </a:stretch>
                  </pic:blipFill>
                  <pic:spPr>
                    <a:xfrm>
                      <a:off x="0" y="0"/>
                      <a:ext cx="2465482" cy="392021"/>
                    </a:xfrm>
                    <a:prstGeom prst="rect">
                      <a:avLst/>
                    </a:prstGeom>
                  </pic:spPr>
                </pic:pic>
              </a:graphicData>
            </a:graphic>
          </wp:anchor>
        </w:drawing>
      </w:r>
      <w:r>
        <w:rPr>
          <w:rFonts w:ascii="华文中宋" w:hAnsi="华文中宋" w:eastAsia="华文中宋" w:cs="Arial"/>
          <w:b/>
          <w:bCs/>
          <w:color w:val="333333"/>
          <w:kern w:val="0"/>
          <w:sz w:val="56"/>
          <w:szCs w:val="56"/>
        </w:rPr>
        <w:drawing>
          <wp:anchor distT="0" distB="0" distL="114300" distR="114300" simplePos="0" relativeHeight="251659264" behindDoc="0" locked="0" layoutInCell="1" allowOverlap="1">
            <wp:simplePos x="0" y="0"/>
            <wp:positionH relativeFrom="column">
              <wp:posOffset>704850</wp:posOffset>
            </wp:positionH>
            <wp:positionV relativeFrom="paragraph">
              <wp:posOffset>555625</wp:posOffset>
            </wp:positionV>
            <wp:extent cx="1628140" cy="397510"/>
            <wp:effectExtent l="0" t="0" r="0" b="3175"/>
            <wp:wrapNone/>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6"/>
                    <a:stretch>
                      <a:fillRect/>
                    </a:stretch>
                  </pic:blipFill>
                  <pic:spPr>
                    <a:xfrm>
                      <a:off x="0" y="0"/>
                      <a:ext cx="1628388" cy="397287"/>
                    </a:xfrm>
                    <a:prstGeom prst="rect">
                      <a:avLst/>
                    </a:prstGeom>
                  </pic:spPr>
                </pic:pic>
              </a:graphicData>
            </a:graphic>
          </wp:anchor>
        </w:drawing>
      </w:r>
      <w:r>
        <w:rPr>
          <w:rFonts w:hint="eastAsia" w:ascii="华文中宋" w:hAnsi="华文中宋" w:eastAsia="华文中宋" w:cs="Arial"/>
          <w:b/>
          <w:bCs/>
          <w:color w:val="333333"/>
          <w:kern w:val="0"/>
          <w:sz w:val="56"/>
          <w:szCs w:val="56"/>
        </w:rPr>
        <w:t xml:space="preserve">           </w:t>
      </w:r>
    </w:p>
    <w:p>
      <w:pPr>
        <w:widowControl/>
        <w:shd w:val="clear" w:color="auto" w:fill="FFFFFF"/>
        <w:spacing w:line="360" w:lineRule="atLeast"/>
        <w:jc w:val="center"/>
        <w:rPr>
          <w:rFonts w:ascii="华文中宋" w:hAnsi="华文中宋" w:eastAsia="华文中宋" w:cs="Arial"/>
          <w:b/>
          <w:bCs/>
          <w:color w:val="333333"/>
          <w:kern w:val="0"/>
          <w:sz w:val="56"/>
          <w:szCs w:val="56"/>
        </w:rPr>
      </w:pPr>
    </w:p>
    <w:p>
      <w:pPr>
        <w:widowControl/>
        <w:shd w:val="clear" w:color="auto" w:fill="FFFFFF"/>
        <w:spacing w:line="360" w:lineRule="atLeast"/>
        <w:jc w:val="distribute"/>
        <w:rPr>
          <w:rFonts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睿抗机器人开发者大赛</w:t>
      </w:r>
    </w:p>
    <w:p>
      <w:pPr>
        <w:widowControl/>
        <w:shd w:val="clear" w:color="auto" w:fill="FFFFFF"/>
        <w:spacing w:before="624" w:beforeLines="200" w:after="624" w:afterLines="200" w:line="360" w:lineRule="atLeast"/>
        <w:jc w:val="center"/>
        <w:rPr>
          <w:rFonts w:ascii="华文楷体" w:hAnsi="华文楷体" w:eastAsia="华文楷体" w:cs="Arial"/>
          <w:color w:val="333333"/>
          <w:kern w:val="0"/>
          <w:sz w:val="32"/>
          <w:szCs w:val="32"/>
        </w:rPr>
      </w:pPr>
      <w:r>
        <w:rPr>
          <w:rFonts w:hint="eastAsia" w:ascii="华文楷体" w:hAnsi="华文楷体" w:eastAsia="华文楷体" w:cs="Arial"/>
          <w:color w:val="333333"/>
          <w:kern w:val="0"/>
          <w:sz w:val="32"/>
          <w:szCs w:val="32"/>
        </w:rPr>
        <w:t>CAIP信息技术创新赛道</w:t>
      </w:r>
    </w:p>
    <w:p>
      <w:pPr>
        <w:widowControl/>
        <w:shd w:val="clear" w:color="auto" w:fill="FFFFFF"/>
        <w:spacing w:before="624" w:beforeLines="200" w:after="624" w:afterLines="200" w:line="360" w:lineRule="atLeast"/>
        <w:jc w:val="center"/>
        <w:rPr>
          <w:rFonts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AI视觉应用赛作品报告</w:t>
      </w:r>
    </w:p>
    <w:p>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ascii="宋体" w:hAnsi="宋体" w:eastAsia="宋体" w:cs="Arial"/>
          <w:color w:val="333333"/>
          <w:kern w:val="0"/>
          <w:sz w:val="32"/>
          <w:szCs w:val="32"/>
          <w:u w:val="single"/>
        </w:rPr>
        <w:t xml:space="preserve"> </w:t>
      </w:r>
      <w:r>
        <w:rPr>
          <w:rFonts w:hint="eastAsia" w:ascii="宋体" w:hAnsi="宋体" w:eastAsia="宋体" w:cs="Arial"/>
          <w:color w:val="333333"/>
          <w:kern w:val="0"/>
          <w:sz w:val="32"/>
          <w:szCs w:val="32"/>
          <w:u w:val="single"/>
        </w:rPr>
        <w:t xml:space="preserve">AI赋能下的轻量化常见垃圾识别分类系统 </w:t>
      </w:r>
    </w:p>
    <w:p>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2025年10月15日　　　　　</w:t>
      </w:r>
    </w:p>
    <w:p>
      <w:pPr>
        <w:widowControl/>
        <w:jc w:val="left"/>
      </w:pPr>
      <w:r>
        <w:br w:type="page"/>
      </w:r>
    </w:p>
    <w:sdt>
      <w:sdtPr>
        <w:rPr>
          <w:rFonts w:ascii="微软雅黑" w:hAnsi="微软雅黑" w:eastAsia="微软雅黑"/>
          <w:b/>
          <w:bCs/>
          <w:sz w:val="24"/>
          <w:szCs w:val="28"/>
        </w:rPr>
        <w:id w:val="-982233210"/>
        <w:docPartObj>
          <w:docPartGallery w:val="Table of Contents"/>
          <w:docPartUnique/>
        </w:docPartObj>
      </w:sdtPr>
      <w:sdtEndPr>
        <w:rPr>
          <w:rFonts w:ascii="微软雅黑" w:hAnsi="微软雅黑" w:eastAsia="微软雅黑"/>
          <w:b/>
          <w:bCs/>
          <w:sz w:val="24"/>
          <w:szCs w:val="28"/>
          <w:lang w:val="zh-CN"/>
        </w:rPr>
      </w:sdtEndPr>
      <w:sdtContent>
        <w:p>
          <w:pPr>
            <w:jc w:val="center"/>
            <w:rPr>
              <w:rFonts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pPr>
            <w:jc w:val="center"/>
            <w:rPr>
              <w:rFonts w:ascii="微软雅黑" w:hAnsi="微软雅黑" w:eastAsia="微软雅黑"/>
              <w:b/>
              <w:bCs/>
              <w:szCs w:val="21"/>
            </w:rPr>
          </w:pPr>
        </w:p>
        <w:p>
          <w:pPr>
            <w:pStyle w:val="18"/>
            <w:tabs>
              <w:tab w:val="right" w:leader="dot" w:pos="8306"/>
              <w:tab w:val="clear" w:pos="8296"/>
            </w:tabs>
            <w:spacing w:before="156"/>
          </w:pPr>
          <w:r>
            <w:rPr>
              <w:rFonts w:hint="eastAsia" w:ascii="华文楷体" w:hAnsi="华文楷体" w:eastAsia="华文楷体"/>
              <w:b/>
              <w:bCs/>
              <w:sz w:val="44"/>
              <w:szCs w:val="28"/>
              <w:lang w:val="zh-CN"/>
            </w:rPr>
            <w:fldChar w:fldCharType="begin"/>
          </w:r>
          <w:r>
            <w:rPr>
              <w:rFonts w:hint="eastAsia" w:ascii="华文楷体" w:hAnsi="华文楷体" w:eastAsia="华文楷体"/>
              <w:b/>
              <w:bCs/>
              <w:sz w:val="44"/>
              <w:szCs w:val="28"/>
              <w:lang w:val="zh-CN"/>
            </w:rPr>
            <w:instrText xml:space="preserve"> </w:instrText>
          </w:r>
          <w:r>
            <w:rPr>
              <w:rFonts w:ascii="华文楷体" w:hAnsi="华文楷体" w:eastAsia="华文楷体"/>
              <w:b/>
              <w:bCs/>
              <w:sz w:val="44"/>
              <w:szCs w:val="28"/>
              <w:lang w:val="zh-CN"/>
            </w:rPr>
            <w:instrText xml:space="preserve">TOC \o "1-2" \h \z \u</w:instrText>
          </w:r>
          <w:r>
            <w:rPr>
              <w:rFonts w:hint="eastAsia" w:ascii="华文楷体" w:hAnsi="华文楷体" w:eastAsia="华文楷体"/>
              <w:b/>
              <w:bCs/>
              <w:sz w:val="44"/>
              <w:szCs w:val="28"/>
              <w:lang w:val="zh-CN"/>
            </w:rPr>
            <w:instrText xml:space="preserve"> </w:instrText>
          </w:r>
          <w:r>
            <w:rPr>
              <w:rFonts w:hint="eastAsia" w:ascii="华文楷体" w:hAnsi="华文楷体" w:eastAsia="华文楷体"/>
              <w:b/>
              <w:bCs/>
              <w:sz w:val="44"/>
              <w:szCs w:val="28"/>
              <w:lang w:val="zh-CN"/>
            </w:rPr>
            <w:fldChar w:fldCharType="separate"/>
          </w:r>
          <w:r>
            <w:fldChar w:fldCharType="begin"/>
          </w:r>
          <w:r>
            <w:instrText xml:space="preserve"> HYPERLINK \l "_Toc21698" </w:instrText>
          </w:r>
          <w:r>
            <w:fldChar w:fldCharType="separate"/>
          </w:r>
          <w:r>
            <w:t xml:space="preserve">第1章 </w:t>
          </w:r>
          <w:r>
            <w:rPr>
              <w:rFonts w:hint="eastAsia"/>
            </w:rPr>
            <w:t>作品概述</w:t>
          </w:r>
          <w:r>
            <w:tab/>
          </w:r>
          <w:r>
            <w:fldChar w:fldCharType="begin"/>
          </w:r>
          <w:r>
            <w:instrText xml:space="preserve"> PAGEREF _Toc21698 \h </w:instrText>
          </w:r>
          <w:r>
            <w:fldChar w:fldCharType="separate"/>
          </w:r>
          <w:r>
            <w:t>1</w:t>
          </w:r>
          <w:r>
            <w:fldChar w:fldCharType="end"/>
          </w:r>
          <w:r>
            <w:fldChar w:fldCharType="end"/>
          </w:r>
        </w:p>
        <w:p>
          <w:pPr>
            <w:pStyle w:val="20"/>
            <w:tabs>
              <w:tab w:val="right" w:leader="dot" w:pos="8306"/>
              <w:tab w:val="clear" w:pos="8296"/>
            </w:tabs>
            <w:ind w:left="210"/>
          </w:pPr>
          <w:r>
            <w:fldChar w:fldCharType="begin"/>
          </w:r>
          <w:r>
            <w:instrText xml:space="preserve"> HYPERLINK \l "_Toc13217" </w:instrText>
          </w:r>
          <w:r>
            <w:fldChar w:fldCharType="separate"/>
          </w:r>
          <w:r>
            <w:rPr>
              <w:rFonts w:hint="eastAsia"/>
            </w:rPr>
            <w:t>1.1 作品背景</w:t>
          </w:r>
          <w:r>
            <w:tab/>
          </w:r>
          <w:r>
            <w:fldChar w:fldCharType="begin"/>
          </w:r>
          <w:r>
            <w:instrText xml:space="preserve"> PAGEREF _Toc13217 \h </w:instrText>
          </w:r>
          <w:r>
            <w:fldChar w:fldCharType="separate"/>
          </w:r>
          <w:r>
            <w:t>1</w:t>
          </w:r>
          <w:r>
            <w:fldChar w:fldCharType="end"/>
          </w:r>
          <w:r>
            <w:fldChar w:fldCharType="end"/>
          </w:r>
        </w:p>
        <w:p>
          <w:pPr>
            <w:pStyle w:val="20"/>
            <w:tabs>
              <w:tab w:val="right" w:leader="dot" w:pos="8306"/>
              <w:tab w:val="clear" w:pos="8296"/>
            </w:tabs>
            <w:ind w:left="210"/>
          </w:pPr>
          <w:r>
            <w:fldChar w:fldCharType="begin"/>
          </w:r>
          <w:r>
            <w:instrText xml:space="preserve"> HYPERLINK \l "_Toc11599" </w:instrText>
          </w:r>
          <w:r>
            <w:fldChar w:fldCharType="separate"/>
          </w:r>
          <w:r>
            <w:rPr>
              <w:rFonts w:hint="eastAsia"/>
            </w:rPr>
            <w:t>1.2 可行性分析</w:t>
          </w:r>
          <w:r>
            <w:tab/>
          </w:r>
          <w:r>
            <w:fldChar w:fldCharType="begin"/>
          </w:r>
          <w:r>
            <w:instrText xml:space="preserve"> PAGEREF _Toc11599 \h </w:instrText>
          </w:r>
          <w:r>
            <w:fldChar w:fldCharType="separate"/>
          </w:r>
          <w:r>
            <w:t>1</w:t>
          </w:r>
          <w:r>
            <w:fldChar w:fldCharType="end"/>
          </w:r>
          <w:r>
            <w:fldChar w:fldCharType="end"/>
          </w:r>
        </w:p>
        <w:p>
          <w:pPr>
            <w:pStyle w:val="20"/>
            <w:tabs>
              <w:tab w:val="right" w:leader="dot" w:pos="8306"/>
              <w:tab w:val="clear" w:pos="8296"/>
            </w:tabs>
            <w:ind w:left="210"/>
          </w:pPr>
          <w:r>
            <w:fldChar w:fldCharType="begin"/>
          </w:r>
          <w:r>
            <w:instrText xml:space="preserve"> HYPERLINK \l "_Toc27666" </w:instrText>
          </w:r>
          <w:r>
            <w:fldChar w:fldCharType="separate"/>
          </w:r>
          <w:r>
            <w:rPr>
              <w:rFonts w:hint="eastAsia"/>
            </w:rPr>
            <w:t>1.3 作品技术路线</w:t>
          </w:r>
          <w:r>
            <w:tab/>
          </w:r>
          <w:r>
            <w:fldChar w:fldCharType="begin"/>
          </w:r>
          <w:r>
            <w:instrText xml:space="preserve"> PAGEREF _Toc27666 \h </w:instrText>
          </w:r>
          <w:r>
            <w:fldChar w:fldCharType="separate"/>
          </w:r>
          <w:r>
            <w:t>3</w:t>
          </w:r>
          <w:r>
            <w:fldChar w:fldCharType="end"/>
          </w:r>
          <w:r>
            <w:fldChar w:fldCharType="end"/>
          </w:r>
        </w:p>
        <w:p>
          <w:pPr>
            <w:pStyle w:val="20"/>
            <w:tabs>
              <w:tab w:val="right" w:leader="dot" w:pos="8306"/>
              <w:tab w:val="clear" w:pos="8296"/>
            </w:tabs>
            <w:ind w:left="210"/>
          </w:pPr>
          <w:r>
            <w:fldChar w:fldCharType="begin"/>
          </w:r>
          <w:r>
            <w:instrText xml:space="preserve"> HYPERLINK \l "_Toc8276" </w:instrText>
          </w:r>
          <w:r>
            <w:fldChar w:fldCharType="separate"/>
          </w:r>
          <w:r>
            <w:rPr>
              <w:rFonts w:hint="eastAsia"/>
            </w:rPr>
            <w:t>1.4 作品创新点概述</w:t>
          </w:r>
          <w:r>
            <w:tab/>
          </w:r>
          <w:r>
            <w:fldChar w:fldCharType="begin"/>
          </w:r>
          <w:r>
            <w:instrText xml:space="preserve"> PAGEREF _Toc8276 \h </w:instrText>
          </w:r>
          <w:r>
            <w:fldChar w:fldCharType="separate"/>
          </w:r>
          <w:r>
            <w:t>3</w:t>
          </w:r>
          <w:r>
            <w:fldChar w:fldCharType="end"/>
          </w:r>
          <w:r>
            <w:fldChar w:fldCharType="end"/>
          </w:r>
        </w:p>
        <w:p>
          <w:pPr>
            <w:pStyle w:val="20"/>
            <w:tabs>
              <w:tab w:val="right" w:leader="dot" w:pos="8306"/>
              <w:tab w:val="clear" w:pos="8296"/>
            </w:tabs>
            <w:ind w:left="210"/>
          </w:pPr>
          <w:r>
            <w:fldChar w:fldCharType="begin"/>
          </w:r>
          <w:r>
            <w:instrText xml:space="preserve"> HYPERLINK \l "_Toc5661" </w:instrText>
          </w:r>
          <w:r>
            <w:fldChar w:fldCharType="separate"/>
          </w:r>
          <w:r>
            <w:rPr>
              <w:rFonts w:hint="eastAsia"/>
            </w:rPr>
            <w:t>1.5 预期测试效果</w:t>
          </w:r>
          <w:r>
            <w:tab/>
          </w:r>
          <w:r>
            <w:fldChar w:fldCharType="begin"/>
          </w:r>
          <w:r>
            <w:instrText xml:space="preserve"> PAGEREF _Toc5661 \h </w:instrText>
          </w:r>
          <w:r>
            <w:fldChar w:fldCharType="separate"/>
          </w:r>
          <w:r>
            <w:t>4</w:t>
          </w:r>
          <w:r>
            <w:fldChar w:fldCharType="end"/>
          </w:r>
          <w:r>
            <w:fldChar w:fldCharType="end"/>
          </w:r>
        </w:p>
        <w:p>
          <w:pPr>
            <w:pStyle w:val="18"/>
            <w:tabs>
              <w:tab w:val="right" w:leader="dot" w:pos="8306"/>
              <w:tab w:val="clear" w:pos="8296"/>
            </w:tabs>
            <w:spacing w:before="156"/>
          </w:pPr>
          <w:r>
            <w:fldChar w:fldCharType="begin"/>
          </w:r>
          <w:r>
            <w:instrText xml:space="preserve"> HYPERLINK \l "_Toc4232" </w:instrText>
          </w:r>
          <w:r>
            <w:fldChar w:fldCharType="separate"/>
          </w:r>
          <w:r>
            <w:t xml:space="preserve">第2章 </w:t>
          </w:r>
          <w:r>
            <w:rPr>
              <w:rFonts w:hint="eastAsia"/>
            </w:rPr>
            <w:t>问题分析</w:t>
          </w:r>
          <w:r>
            <w:tab/>
          </w:r>
          <w:r>
            <w:fldChar w:fldCharType="begin"/>
          </w:r>
          <w:r>
            <w:instrText xml:space="preserve"> PAGEREF _Toc4232 \h </w:instrText>
          </w:r>
          <w:r>
            <w:fldChar w:fldCharType="separate"/>
          </w:r>
          <w:r>
            <w:t>4</w:t>
          </w:r>
          <w:r>
            <w:fldChar w:fldCharType="end"/>
          </w:r>
          <w:r>
            <w:fldChar w:fldCharType="end"/>
          </w:r>
        </w:p>
        <w:p>
          <w:pPr>
            <w:pStyle w:val="20"/>
            <w:tabs>
              <w:tab w:val="right" w:leader="dot" w:pos="8306"/>
              <w:tab w:val="clear" w:pos="8296"/>
            </w:tabs>
            <w:ind w:left="210"/>
          </w:pPr>
          <w:r>
            <w:fldChar w:fldCharType="begin"/>
          </w:r>
          <w:r>
            <w:instrText xml:space="preserve"> HYPERLINK \l "_Toc5030" </w:instrText>
          </w:r>
          <w:r>
            <w:fldChar w:fldCharType="separate"/>
          </w:r>
          <w:r>
            <w:rPr>
              <w:rFonts w:hint="eastAsia"/>
            </w:rPr>
            <w:t>2.1 设备性能限制</w:t>
          </w:r>
          <w:r>
            <w:tab/>
          </w:r>
          <w:r>
            <w:fldChar w:fldCharType="begin"/>
          </w:r>
          <w:r>
            <w:instrText xml:space="preserve"> PAGEREF _Toc5030 \h </w:instrText>
          </w:r>
          <w:r>
            <w:fldChar w:fldCharType="separate"/>
          </w:r>
          <w:r>
            <w:t>4</w:t>
          </w:r>
          <w:r>
            <w:fldChar w:fldCharType="end"/>
          </w:r>
          <w:r>
            <w:fldChar w:fldCharType="end"/>
          </w:r>
        </w:p>
        <w:p>
          <w:pPr>
            <w:pStyle w:val="20"/>
            <w:tabs>
              <w:tab w:val="right" w:leader="dot" w:pos="8306"/>
              <w:tab w:val="clear" w:pos="8296"/>
            </w:tabs>
            <w:ind w:left="210"/>
          </w:pPr>
          <w:r>
            <w:fldChar w:fldCharType="begin"/>
          </w:r>
          <w:r>
            <w:instrText xml:space="preserve"> HYPERLINK \l "_Toc25117" </w:instrText>
          </w:r>
          <w:r>
            <w:fldChar w:fldCharType="separate"/>
          </w:r>
          <w:r>
            <w:rPr>
              <w:rFonts w:hint="eastAsia"/>
            </w:rPr>
            <w:t>2.2 垃圾种类扫描充分程度</w:t>
          </w:r>
          <w:r>
            <w:tab/>
          </w:r>
          <w:r>
            <w:fldChar w:fldCharType="begin"/>
          </w:r>
          <w:r>
            <w:instrText xml:space="preserve"> PAGEREF _Toc25117 \h </w:instrText>
          </w:r>
          <w:r>
            <w:fldChar w:fldCharType="separate"/>
          </w:r>
          <w:r>
            <w:t>4</w:t>
          </w:r>
          <w:r>
            <w:fldChar w:fldCharType="end"/>
          </w:r>
          <w:r>
            <w:fldChar w:fldCharType="end"/>
          </w:r>
        </w:p>
        <w:p>
          <w:pPr>
            <w:pStyle w:val="20"/>
            <w:tabs>
              <w:tab w:val="right" w:leader="dot" w:pos="8306"/>
              <w:tab w:val="clear" w:pos="8296"/>
            </w:tabs>
            <w:ind w:left="210"/>
          </w:pPr>
          <w:r>
            <w:fldChar w:fldCharType="begin"/>
          </w:r>
          <w:r>
            <w:instrText xml:space="preserve"> HYPERLINK \l "_Toc8816" </w:instrText>
          </w:r>
          <w:r>
            <w:fldChar w:fldCharType="separate"/>
          </w:r>
          <w:r>
            <w:rPr>
              <w:rFonts w:hint="eastAsia"/>
            </w:rPr>
            <w:t>2.3 精准统计及识别完整性</w:t>
          </w:r>
          <w:r>
            <w:tab/>
          </w:r>
          <w:r>
            <w:fldChar w:fldCharType="begin"/>
          </w:r>
          <w:r>
            <w:instrText xml:space="preserve"> PAGEREF _Toc8816 \h </w:instrText>
          </w:r>
          <w:r>
            <w:fldChar w:fldCharType="separate"/>
          </w:r>
          <w:r>
            <w:t>4</w:t>
          </w:r>
          <w:r>
            <w:fldChar w:fldCharType="end"/>
          </w:r>
          <w:r>
            <w:fldChar w:fldCharType="end"/>
          </w:r>
        </w:p>
        <w:p>
          <w:pPr>
            <w:pStyle w:val="20"/>
            <w:tabs>
              <w:tab w:val="right" w:leader="dot" w:pos="8306"/>
              <w:tab w:val="clear" w:pos="8296"/>
            </w:tabs>
            <w:ind w:left="210"/>
          </w:pPr>
          <w:r>
            <w:fldChar w:fldCharType="begin"/>
          </w:r>
          <w:r>
            <w:instrText xml:space="preserve"> HYPERLINK \l "_Toc1217" </w:instrText>
          </w:r>
          <w:r>
            <w:fldChar w:fldCharType="separate"/>
          </w:r>
          <w:r>
            <w:rPr>
              <w:rFonts w:hint="eastAsia"/>
            </w:rPr>
            <w:t>2.4 同类垃圾相似度及重复扫描</w:t>
          </w:r>
          <w:r>
            <w:tab/>
          </w:r>
          <w:r>
            <w:fldChar w:fldCharType="begin"/>
          </w:r>
          <w:r>
            <w:instrText xml:space="preserve"> PAGEREF _Toc1217 \h </w:instrText>
          </w:r>
          <w:r>
            <w:fldChar w:fldCharType="separate"/>
          </w:r>
          <w:r>
            <w:t>5</w:t>
          </w:r>
          <w:r>
            <w:fldChar w:fldCharType="end"/>
          </w:r>
          <w:r>
            <w:fldChar w:fldCharType="end"/>
          </w:r>
        </w:p>
        <w:p>
          <w:pPr>
            <w:pStyle w:val="18"/>
            <w:tabs>
              <w:tab w:val="right" w:leader="dot" w:pos="8306"/>
              <w:tab w:val="clear" w:pos="8296"/>
            </w:tabs>
            <w:spacing w:before="156"/>
          </w:pPr>
          <w:r>
            <w:fldChar w:fldCharType="begin"/>
          </w:r>
          <w:r>
            <w:instrText xml:space="preserve"> HYPERLINK \l "_Toc16541" </w:instrText>
          </w:r>
          <w:r>
            <w:fldChar w:fldCharType="separate"/>
          </w:r>
          <w:r>
            <w:t xml:space="preserve">第3章 </w:t>
          </w:r>
          <w:r>
            <w:rPr>
              <w:rFonts w:hint="eastAsia"/>
            </w:rPr>
            <w:t>技术方案</w:t>
          </w:r>
          <w:r>
            <w:tab/>
          </w:r>
          <w:r>
            <w:fldChar w:fldCharType="begin"/>
          </w:r>
          <w:r>
            <w:instrText xml:space="preserve"> PAGEREF _Toc16541 \h </w:instrText>
          </w:r>
          <w:r>
            <w:fldChar w:fldCharType="separate"/>
          </w:r>
          <w:r>
            <w:t>5</w:t>
          </w:r>
          <w:r>
            <w:fldChar w:fldCharType="end"/>
          </w:r>
          <w:r>
            <w:fldChar w:fldCharType="end"/>
          </w:r>
        </w:p>
        <w:p>
          <w:pPr>
            <w:pStyle w:val="20"/>
            <w:tabs>
              <w:tab w:val="right" w:leader="dot" w:pos="8306"/>
              <w:tab w:val="clear" w:pos="8296"/>
            </w:tabs>
            <w:ind w:left="210"/>
          </w:pPr>
          <w:r>
            <w:fldChar w:fldCharType="begin"/>
          </w:r>
          <w:r>
            <w:instrText xml:space="preserve"> HYPERLINK \l "_Toc16015" </w:instrText>
          </w:r>
          <w:r>
            <w:fldChar w:fldCharType="separate"/>
          </w:r>
          <w:r>
            <w:rPr>
              <w:rFonts w:hint="eastAsia"/>
            </w:rPr>
            <w:t>3.1 作品主要内容</w:t>
          </w:r>
          <w:r>
            <w:tab/>
          </w:r>
          <w:r>
            <w:fldChar w:fldCharType="begin"/>
          </w:r>
          <w:r>
            <w:instrText xml:space="preserve"> PAGEREF _Toc16015 \h </w:instrText>
          </w:r>
          <w:r>
            <w:fldChar w:fldCharType="separate"/>
          </w:r>
          <w:r>
            <w:t>5</w:t>
          </w:r>
          <w:r>
            <w:fldChar w:fldCharType="end"/>
          </w:r>
          <w:r>
            <w:fldChar w:fldCharType="end"/>
          </w:r>
        </w:p>
        <w:p>
          <w:pPr>
            <w:pStyle w:val="20"/>
            <w:tabs>
              <w:tab w:val="right" w:leader="dot" w:pos="8306"/>
              <w:tab w:val="clear" w:pos="8296"/>
            </w:tabs>
            <w:ind w:left="210"/>
          </w:pPr>
          <w:r>
            <w:fldChar w:fldCharType="begin"/>
          </w:r>
          <w:r>
            <w:instrText xml:space="preserve"> HYPERLINK \l "_Toc25173" </w:instrText>
          </w:r>
          <w:r>
            <w:fldChar w:fldCharType="separate"/>
          </w:r>
          <w:r>
            <w:rPr>
              <w:rFonts w:hint="eastAsia"/>
            </w:rPr>
            <w:t>3.2 作品问题的解决思路</w:t>
          </w:r>
          <w:r>
            <w:tab/>
          </w:r>
          <w:r>
            <w:fldChar w:fldCharType="begin"/>
          </w:r>
          <w:r>
            <w:instrText xml:space="preserve"> PAGEREF _Toc25173 \h </w:instrText>
          </w:r>
          <w:r>
            <w:fldChar w:fldCharType="separate"/>
          </w:r>
          <w:r>
            <w:t>6</w:t>
          </w:r>
          <w:r>
            <w:fldChar w:fldCharType="end"/>
          </w:r>
          <w:r>
            <w:fldChar w:fldCharType="end"/>
          </w:r>
        </w:p>
        <w:p>
          <w:pPr>
            <w:pStyle w:val="18"/>
            <w:tabs>
              <w:tab w:val="right" w:leader="dot" w:pos="8306"/>
              <w:tab w:val="clear" w:pos="8296"/>
            </w:tabs>
            <w:spacing w:before="156"/>
          </w:pPr>
          <w:r>
            <w:fldChar w:fldCharType="begin"/>
          </w:r>
          <w:r>
            <w:instrText xml:space="preserve"> HYPERLINK \l "_Toc18338" </w:instrText>
          </w:r>
          <w:r>
            <w:fldChar w:fldCharType="separate"/>
          </w:r>
          <w:r>
            <w:t xml:space="preserve">第4章 </w:t>
          </w:r>
          <w:r>
            <w:rPr>
              <w:rFonts w:hint="eastAsia"/>
            </w:rPr>
            <w:t>系统的设计与实现</w:t>
          </w:r>
          <w:r>
            <w:tab/>
          </w:r>
          <w:r>
            <w:fldChar w:fldCharType="begin"/>
          </w:r>
          <w:r>
            <w:instrText xml:space="preserve"> PAGEREF _Toc18338 \h </w:instrText>
          </w:r>
          <w:r>
            <w:fldChar w:fldCharType="separate"/>
          </w:r>
          <w:r>
            <w:t>6</w:t>
          </w:r>
          <w:r>
            <w:fldChar w:fldCharType="end"/>
          </w:r>
          <w:r>
            <w:fldChar w:fldCharType="end"/>
          </w:r>
        </w:p>
        <w:p>
          <w:pPr>
            <w:pStyle w:val="20"/>
            <w:tabs>
              <w:tab w:val="right" w:leader="dot" w:pos="8306"/>
              <w:tab w:val="clear" w:pos="8296"/>
            </w:tabs>
            <w:ind w:left="210"/>
          </w:pPr>
          <w:r>
            <w:fldChar w:fldCharType="begin"/>
          </w:r>
          <w:r>
            <w:instrText xml:space="preserve"> HYPERLINK \l "_Toc27027" </w:instrText>
          </w:r>
          <w:r>
            <w:fldChar w:fldCharType="separate"/>
          </w:r>
          <w:r>
            <w:rPr>
              <w:rFonts w:hint="eastAsia"/>
            </w:rPr>
            <w:t>4.1 总体架构设计</w:t>
          </w:r>
          <w:r>
            <w:tab/>
          </w:r>
          <w:r>
            <w:fldChar w:fldCharType="begin"/>
          </w:r>
          <w:r>
            <w:instrText xml:space="preserve"> PAGEREF _Toc27027 \h </w:instrText>
          </w:r>
          <w:r>
            <w:fldChar w:fldCharType="separate"/>
          </w:r>
          <w:r>
            <w:t>6</w:t>
          </w:r>
          <w:r>
            <w:fldChar w:fldCharType="end"/>
          </w:r>
          <w:r>
            <w:fldChar w:fldCharType="end"/>
          </w:r>
        </w:p>
        <w:p>
          <w:pPr>
            <w:pStyle w:val="20"/>
            <w:tabs>
              <w:tab w:val="right" w:leader="dot" w:pos="8306"/>
              <w:tab w:val="clear" w:pos="8296"/>
            </w:tabs>
            <w:ind w:left="210"/>
          </w:pPr>
          <w:r>
            <w:fldChar w:fldCharType="begin"/>
          </w:r>
          <w:r>
            <w:instrText xml:space="preserve"> HYPERLINK \l "_Toc807" </w:instrText>
          </w:r>
          <w:r>
            <w:fldChar w:fldCharType="separate"/>
          </w:r>
          <w:r>
            <w:rPr>
              <w:rFonts w:hint="eastAsia"/>
            </w:rPr>
            <w:t>4.2 模块划分设计</w:t>
          </w:r>
          <w:r>
            <w:tab/>
          </w:r>
          <w:r>
            <w:fldChar w:fldCharType="begin"/>
          </w:r>
          <w:r>
            <w:instrText xml:space="preserve"> PAGEREF _Toc807 \h </w:instrText>
          </w:r>
          <w:r>
            <w:fldChar w:fldCharType="separate"/>
          </w:r>
          <w:r>
            <w:t>7</w:t>
          </w:r>
          <w:r>
            <w:fldChar w:fldCharType="end"/>
          </w:r>
          <w:r>
            <w:fldChar w:fldCharType="end"/>
          </w:r>
        </w:p>
        <w:p>
          <w:pPr>
            <w:pStyle w:val="20"/>
            <w:tabs>
              <w:tab w:val="right" w:leader="dot" w:pos="8306"/>
              <w:tab w:val="clear" w:pos="8296"/>
            </w:tabs>
            <w:ind w:left="210"/>
          </w:pPr>
          <w:r>
            <w:fldChar w:fldCharType="begin"/>
          </w:r>
          <w:r>
            <w:instrText xml:space="preserve"> HYPERLINK \l "_Toc6502" </w:instrText>
          </w:r>
          <w:r>
            <w:fldChar w:fldCharType="separate"/>
          </w:r>
          <w:r>
            <w:rPr>
              <w:rFonts w:hint="eastAsia"/>
            </w:rPr>
            <w:t>4.3 核心算法实现与训练优化</w:t>
          </w:r>
          <w:r>
            <w:tab/>
          </w:r>
          <w:r>
            <w:fldChar w:fldCharType="begin"/>
          </w:r>
          <w:r>
            <w:instrText xml:space="preserve"> PAGEREF _Toc6502 \h </w:instrText>
          </w:r>
          <w:r>
            <w:fldChar w:fldCharType="separate"/>
          </w:r>
          <w:r>
            <w:t>9</w:t>
          </w:r>
          <w:r>
            <w:fldChar w:fldCharType="end"/>
          </w:r>
          <w:r>
            <w:fldChar w:fldCharType="end"/>
          </w:r>
        </w:p>
        <w:p>
          <w:pPr>
            <w:pStyle w:val="20"/>
            <w:tabs>
              <w:tab w:val="right" w:leader="dot" w:pos="8306"/>
              <w:tab w:val="clear" w:pos="8296"/>
            </w:tabs>
            <w:ind w:left="210"/>
          </w:pPr>
          <w:r>
            <w:fldChar w:fldCharType="begin"/>
          </w:r>
          <w:r>
            <w:instrText xml:space="preserve"> HYPERLINK \l "_Toc18980" </w:instrText>
          </w:r>
          <w:r>
            <w:fldChar w:fldCharType="separate"/>
          </w:r>
          <w:r>
            <w:rPr>
              <w:rFonts w:hint="eastAsia"/>
            </w:rPr>
            <w:t>4.4 模块划分与实现</w:t>
          </w:r>
          <w:r>
            <w:tab/>
          </w:r>
          <w:r>
            <w:fldChar w:fldCharType="begin"/>
          </w:r>
          <w:r>
            <w:instrText xml:space="preserve"> PAGEREF _Toc18980 \h </w:instrText>
          </w:r>
          <w:r>
            <w:fldChar w:fldCharType="separate"/>
          </w:r>
          <w:r>
            <w:t>12</w:t>
          </w:r>
          <w:r>
            <w:fldChar w:fldCharType="end"/>
          </w:r>
          <w:r>
            <w:fldChar w:fldCharType="end"/>
          </w:r>
        </w:p>
        <w:p>
          <w:pPr>
            <w:pStyle w:val="18"/>
            <w:tabs>
              <w:tab w:val="right" w:leader="dot" w:pos="8306"/>
              <w:tab w:val="clear" w:pos="8296"/>
            </w:tabs>
            <w:spacing w:before="156"/>
          </w:pPr>
          <w:r>
            <w:fldChar w:fldCharType="begin"/>
          </w:r>
          <w:r>
            <w:instrText xml:space="preserve"> HYPERLINK \l "_Toc18473" </w:instrText>
          </w:r>
          <w:r>
            <w:fldChar w:fldCharType="separate"/>
          </w:r>
          <w:r>
            <w:t xml:space="preserve">第5章 </w:t>
          </w:r>
          <w:r>
            <w:rPr>
              <w:rFonts w:hint="eastAsia"/>
            </w:rPr>
            <w:t>测试分析</w:t>
          </w:r>
          <w:r>
            <w:tab/>
          </w:r>
          <w:r>
            <w:fldChar w:fldCharType="begin"/>
          </w:r>
          <w:r>
            <w:instrText xml:space="preserve"> PAGEREF _Toc18473 \h </w:instrText>
          </w:r>
          <w:r>
            <w:fldChar w:fldCharType="separate"/>
          </w:r>
          <w:r>
            <w:t>15</w:t>
          </w:r>
          <w:r>
            <w:fldChar w:fldCharType="end"/>
          </w:r>
          <w:r>
            <w:fldChar w:fldCharType="end"/>
          </w:r>
        </w:p>
        <w:p>
          <w:pPr>
            <w:pStyle w:val="20"/>
            <w:tabs>
              <w:tab w:val="right" w:leader="dot" w:pos="8306"/>
              <w:tab w:val="clear" w:pos="8296"/>
            </w:tabs>
            <w:ind w:left="210"/>
          </w:pPr>
          <w:r>
            <w:fldChar w:fldCharType="begin"/>
          </w:r>
          <w:r>
            <w:instrText xml:space="preserve"> HYPERLINK \l "_Toc7501" </w:instrText>
          </w:r>
          <w:r>
            <w:fldChar w:fldCharType="separate"/>
          </w:r>
          <w:r>
            <w:rPr>
              <w:rFonts w:hint="eastAsia"/>
            </w:rPr>
            <w:t>5.1 测试环境</w:t>
          </w:r>
          <w:r>
            <w:tab/>
          </w:r>
          <w:r>
            <w:fldChar w:fldCharType="begin"/>
          </w:r>
          <w:r>
            <w:instrText xml:space="preserve"> PAGEREF _Toc7501 \h </w:instrText>
          </w:r>
          <w:r>
            <w:fldChar w:fldCharType="separate"/>
          </w:r>
          <w:r>
            <w:t>15</w:t>
          </w:r>
          <w:r>
            <w:fldChar w:fldCharType="end"/>
          </w:r>
          <w:r>
            <w:fldChar w:fldCharType="end"/>
          </w:r>
        </w:p>
        <w:p>
          <w:pPr>
            <w:pStyle w:val="20"/>
            <w:tabs>
              <w:tab w:val="right" w:leader="dot" w:pos="8306"/>
              <w:tab w:val="clear" w:pos="8296"/>
            </w:tabs>
            <w:ind w:left="210"/>
          </w:pPr>
          <w:r>
            <w:fldChar w:fldCharType="begin"/>
          </w:r>
          <w:r>
            <w:instrText xml:space="preserve"> HYPERLINK \l "_Toc28793" </w:instrText>
          </w:r>
          <w:r>
            <w:fldChar w:fldCharType="separate"/>
          </w:r>
          <w:r>
            <w:rPr>
              <w:rFonts w:hint="eastAsia"/>
            </w:rPr>
            <w:t>5.2 功能测试</w:t>
          </w:r>
          <w:r>
            <w:tab/>
          </w:r>
          <w:r>
            <w:fldChar w:fldCharType="begin"/>
          </w:r>
          <w:r>
            <w:instrText xml:space="preserve"> PAGEREF _Toc28793 \h </w:instrText>
          </w:r>
          <w:r>
            <w:fldChar w:fldCharType="separate"/>
          </w:r>
          <w:r>
            <w:t>15</w:t>
          </w:r>
          <w:r>
            <w:fldChar w:fldCharType="end"/>
          </w:r>
          <w:r>
            <w:fldChar w:fldCharType="end"/>
          </w:r>
        </w:p>
        <w:p>
          <w:pPr>
            <w:pStyle w:val="20"/>
            <w:tabs>
              <w:tab w:val="right" w:leader="dot" w:pos="8306"/>
              <w:tab w:val="clear" w:pos="8296"/>
            </w:tabs>
            <w:ind w:left="210"/>
          </w:pPr>
          <w:r>
            <w:fldChar w:fldCharType="begin"/>
          </w:r>
          <w:r>
            <w:instrText xml:space="preserve"> HYPERLINK \l "_Toc32409" </w:instrText>
          </w:r>
          <w:r>
            <w:fldChar w:fldCharType="separate"/>
          </w:r>
          <w:r>
            <w:rPr>
              <w:rFonts w:hint="eastAsia"/>
            </w:rPr>
            <w:t>5.3 测试结果及分析</w:t>
          </w:r>
          <w:r>
            <w:tab/>
          </w:r>
          <w:r>
            <w:fldChar w:fldCharType="begin"/>
          </w:r>
          <w:r>
            <w:instrText xml:space="preserve"> PAGEREF _Toc32409 \h </w:instrText>
          </w:r>
          <w:r>
            <w:fldChar w:fldCharType="separate"/>
          </w:r>
          <w:r>
            <w:t>15</w:t>
          </w:r>
          <w:r>
            <w:fldChar w:fldCharType="end"/>
          </w:r>
          <w:r>
            <w:fldChar w:fldCharType="end"/>
          </w:r>
        </w:p>
        <w:p>
          <w:pPr>
            <w:pStyle w:val="18"/>
            <w:tabs>
              <w:tab w:val="right" w:leader="dot" w:pos="8306"/>
              <w:tab w:val="clear" w:pos="8296"/>
            </w:tabs>
            <w:spacing w:before="156"/>
          </w:pPr>
          <w:r>
            <w:fldChar w:fldCharType="begin"/>
          </w:r>
          <w:r>
            <w:instrText xml:space="preserve"> HYPERLINK \l "_Toc32509" </w:instrText>
          </w:r>
          <w:r>
            <w:fldChar w:fldCharType="separate"/>
          </w:r>
          <w:r>
            <w:t xml:space="preserve">第6章 </w:t>
          </w:r>
          <w:r>
            <w:rPr>
              <w:rFonts w:hint="eastAsia"/>
            </w:rPr>
            <w:t>作品总结</w:t>
          </w:r>
          <w:r>
            <w:tab/>
          </w:r>
          <w:r>
            <w:fldChar w:fldCharType="begin"/>
          </w:r>
          <w:r>
            <w:instrText xml:space="preserve"> PAGEREF _Toc32509 \h </w:instrText>
          </w:r>
          <w:r>
            <w:fldChar w:fldCharType="separate"/>
          </w:r>
          <w:r>
            <w:t>16</w:t>
          </w:r>
          <w:r>
            <w:fldChar w:fldCharType="end"/>
          </w:r>
          <w:r>
            <w:fldChar w:fldCharType="end"/>
          </w:r>
        </w:p>
        <w:p>
          <w:pPr>
            <w:pStyle w:val="20"/>
            <w:tabs>
              <w:tab w:val="right" w:leader="dot" w:pos="8306"/>
              <w:tab w:val="clear" w:pos="8296"/>
            </w:tabs>
            <w:ind w:left="210"/>
          </w:pPr>
          <w:r>
            <w:fldChar w:fldCharType="begin"/>
          </w:r>
          <w:r>
            <w:instrText xml:space="preserve"> HYPERLINK \l "_Toc30844" </w:instrText>
          </w:r>
          <w:r>
            <w:fldChar w:fldCharType="separate"/>
          </w:r>
          <w:r>
            <w:rPr>
              <w:rFonts w:hint="eastAsia"/>
            </w:rPr>
            <w:t>6.1 作品特色与创新点</w:t>
          </w:r>
          <w:r>
            <w:tab/>
          </w:r>
          <w:r>
            <w:fldChar w:fldCharType="begin"/>
          </w:r>
          <w:r>
            <w:instrText xml:space="preserve"> PAGEREF _Toc30844 \h </w:instrText>
          </w:r>
          <w:r>
            <w:fldChar w:fldCharType="separate"/>
          </w:r>
          <w:r>
            <w:t>16</w:t>
          </w:r>
          <w:r>
            <w:fldChar w:fldCharType="end"/>
          </w:r>
          <w:r>
            <w:fldChar w:fldCharType="end"/>
          </w:r>
        </w:p>
        <w:p>
          <w:pPr>
            <w:pStyle w:val="20"/>
            <w:tabs>
              <w:tab w:val="right" w:leader="dot" w:pos="8306"/>
              <w:tab w:val="clear" w:pos="8296"/>
            </w:tabs>
            <w:ind w:left="210"/>
          </w:pPr>
          <w:r>
            <w:fldChar w:fldCharType="begin"/>
          </w:r>
          <w:r>
            <w:instrText xml:space="preserve"> HYPERLINK \l "_Toc27440" </w:instrText>
          </w:r>
          <w:r>
            <w:fldChar w:fldCharType="separate"/>
          </w:r>
          <w:r>
            <w:rPr>
              <w:rFonts w:hint="eastAsia"/>
            </w:rPr>
            <w:t>6.2 作品展望</w:t>
          </w:r>
          <w:r>
            <w:tab/>
          </w:r>
          <w:r>
            <w:fldChar w:fldCharType="begin"/>
          </w:r>
          <w:r>
            <w:instrText xml:space="preserve"> PAGEREF _Toc27440 \h </w:instrText>
          </w:r>
          <w:r>
            <w:fldChar w:fldCharType="separate"/>
          </w:r>
          <w:r>
            <w:t>17</w:t>
          </w:r>
          <w:r>
            <w:fldChar w:fldCharType="end"/>
          </w:r>
          <w:r>
            <w:fldChar w:fldCharType="end"/>
          </w:r>
        </w:p>
        <w:p>
          <w:pPr>
            <w:pStyle w:val="18"/>
            <w:tabs>
              <w:tab w:val="right" w:leader="dot" w:pos="8306"/>
              <w:tab w:val="clear" w:pos="8296"/>
            </w:tabs>
            <w:spacing w:before="156"/>
          </w:pPr>
          <w:r>
            <w:fldChar w:fldCharType="begin"/>
          </w:r>
          <w:r>
            <w:instrText xml:space="preserve"> HYPERLINK \l "_Toc18413" </w:instrText>
          </w:r>
          <w:r>
            <w:fldChar w:fldCharType="separate"/>
          </w:r>
          <w:r>
            <w:rPr>
              <w:rFonts w:hint="eastAsia"/>
            </w:rPr>
            <w:t>参考文献</w:t>
          </w:r>
          <w:r>
            <w:tab/>
          </w:r>
          <w:r>
            <w:fldChar w:fldCharType="begin"/>
          </w:r>
          <w:r>
            <w:instrText xml:space="preserve"> PAGEREF _Toc18413 \h </w:instrText>
          </w:r>
          <w:r>
            <w:fldChar w:fldCharType="separate"/>
          </w:r>
          <w:r>
            <w:t>18</w:t>
          </w:r>
          <w:r>
            <w:fldChar w:fldCharType="end"/>
          </w:r>
          <w:r>
            <w:fldChar w:fldCharType="end"/>
          </w:r>
        </w:p>
        <w:p>
          <w:pPr>
            <w:pStyle w:val="18"/>
            <w:spacing w:before="156"/>
            <w:rPr>
              <w:lang w:val="zh-CN"/>
            </w:rPr>
          </w:pPr>
          <w:r>
            <w:rPr>
              <w:rFonts w:hint="eastAsia" w:ascii="华文楷体" w:hAnsi="华文楷体" w:eastAsia="华文楷体"/>
              <w:bCs/>
              <w:szCs w:val="28"/>
              <w:lang w:val="zh-CN"/>
            </w:rPr>
            <w:fldChar w:fldCharType="end"/>
          </w:r>
        </w:p>
      </w:sdtContent>
    </w:sdt>
    <w:p>
      <w:pPr>
        <w:pStyle w:val="18"/>
        <w:spacing w:before="156"/>
      </w:pPr>
    </w:p>
    <w:p>
      <w:pPr>
        <w:pStyle w:val="18"/>
        <w:spacing w:before="156"/>
      </w:pPr>
    </w:p>
    <w:p>
      <w:pPr>
        <w:pStyle w:val="18"/>
        <w:spacing w:before="156"/>
      </w:pPr>
    </w:p>
    <w:p>
      <w:pPr>
        <w:pStyle w:val="18"/>
        <w:spacing w:before="156"/>
      </w:pPr>
    </w:p>
    <w:p>
      <w:pPr>
        <w:pStyle w:val="18"/>
        <w:spacing w:before="156"/>
        <w:sectPr>
          <w:pgSz w:w="11906" w:h="16838"/>
          <w:pgMar w:top="1440" w:right="1800" w:bottom="1440" w:left="1800" w:header="851" w:footer="992" w:gutter="0"/>
          <w:cols w:space="425" w:num="1"/>
          <w:titlePg/>
          <w:docGrid w:type="lines" w:linePitch="312" w:charSpace="0"/>
        </w:sectPr>
      </w:pPr>
    </w:p>
    <w:p>
      <w:pPr>
        <w:pStyle w:val="2"/>
        <w:spacing w:before="936" w:after="156"/>
      </w:pPr>
      <w:bookmarkStart w:id="0" w:name="_Toc21698"/>
      <w:r>
        <w:rPr>
          <w:rFonts w:hint="eastAsia"/>
        </w:rPr>
        <w:t>作品概述</w:t>
      </w:r>
      <w:bookmarkEnd w:id="0"/>
    </w:p>
    <w:p>
      <w:pPr>
        <w:pStyle w:val="4"/>
        <w:spacing w:before="468" w:after="93"/>
        <w:rPr>
          <w:color w:val="000000" w:themeColor="text1"/>
          <w14:textFill>
            <w14:solidFill>
              <w14:schemeClr w14:val="tx1"/>
            </w14:solidFill>
          </w14:textFill>
        </w:rPr>
      </w:pPr>
      <w:bookmarkStart w:id="1" w:name="_Toc13217"/>
      <w:r>
        <w:rPr>
          <w:rFonts w:hint="eastAsia"/>
          <w:color w:val="000000" w:themeColor="text1"/>
          <w14:textFill>
            <w14:solidFill>
              <w14:schemeClr w14:val="tx1"/>
            </w14:solidFill>
          </w14:textFill>
        </w:rPr>
        <w:t>作品背景</w:t>
      </w:r>
      <w:bookmarkEnd w:id="1"/>
    </w:p>
    <w:p>
      <w:pPr>
        <w:pStyle w:val="3"/>
        <w:spacing w:before="62" w:after="62"/>
        <w:ind w:firstLine="480"/>
      </w:pPr>
      <w:r>
        <w:rPr>
          <w:rFonts w:hint="eastAsia"/>
        </w:rPr>
        <w:t>随着人们生活质量的提升，治理垃圾成为一项重要</w:t>
      </w:r>
      <w:r>
        <w:t>问题，而如何进行有效的垃圾分类更是</w:t>
      </w:r>
      <w:r>
        <w:rPr>
          <w:rFonts w:hint="eastAsia"/>
        </w:rPr>
        <w:t>至关重要</w:t>
      </w:r>
      <w:r>
        <w:t>。从</w:t>
      </w:r>
      <w:r>
        <w:rPr>
          <w:rFonts w:hint="eastAsia"/>
        </w:rPr>
        <w:t>2000</w:t>
      </w:r>
      <w:r>
        <w:t>年北京、上海、广州、深圳、杭州、南京、厦门、桂林八个城市作为生活垃圾分类收集试点城市，到</w:t>
      </w:r>
      <w:r>
        <w:rPr>
          <w:rFonts w:hint="eastAsia"/>
        </w:rPr>
        <w:t>2019</w:t>
      </w:r>
      <w:r>
        <w:t>年规定</w:t>
      </w:r>
      <w:r>
        <w:rPr>
          <w:rFonts w:hint="eastAsia"/>
        </w:rPr>
        <w:t>46</w:t>
      </w:r>
      <w:r>
        <w:t>个重点城市基本建成生活垃圾分类处理系统，其他地级城市实现公共机构生活垃圾分类全覆盖。实行垃圾分类这一项目持续进行，通过一系列</w:t>
      </w:r>
      <w:r>
        <w:rPr>
          <w:rFonts w:hint="eastAsia"/>
        </w:rPr>
        <w:t>国家</w:t>
      </w:r>
      <w:r>
        <w:t>政策、</w:t>
      </w:r>
      <w:r>
        <w:rPr>
          <w:rFonts w:hint="eastAsia"/>
        </w:rPr>
        <w:t>政府措施</w:t>
      </w:r>
      <w:r>
        <w:t>，大部分城市已经具备</w:t>
      </w:r>
      <w:r>
        <w:rPr>
          <w:rFonts w:hint="eastAsia"/>
        </w:rPr>
        <w:t>基础</w:t>
      </w:r>
      <w:r>
        <w:t>硬件</w:t>
      </w:r>
      <w:r>
        <w:rPr>
          <w:rFonts w:hint="eastAsia"/>
        </w:rPr>
        <w:t>设施</w:t>
      </w:r>
      <w:r>
        <w:t>。但</w:t>
      </w:r>
      <w:r>
        <w:rPr>
          <w:rFonts w:hint="eastAsia"/>
        </w:rPr>
        <w:t>大众层面</w:t>
      </w:r>
      <w:r>
        <w:t>有限的知识储备和从众的思维在一定程</w:t>
      </w:r>
      <w:r>
        <w:rPr>
          <w:rFonts w:hint="eastAsia"/>
        </w:rPr>
        <w:t>度上阻碍了其发展</w:t>
      </w:r>
      <w:r>
        <w:rPr>
          <w:rFonts w:hint="eastAsia"/>
          <w:vertAlign w:val="superscript"/>
        </w:rPr>
        <w:t>[</w:t>
      </w:r>
      <w:r>
        <w:rPr>
          <w:vertAlign w:val="superscript"/>
        </w:rPr>
        <w:t>1]</w:t>
      </w:r>
      <w:r>
        <w:rPr>
          <w:rFonts w:hint="eastAsia"/>
        </w:rPr>
        <w:t>。</w:t>
      </w:r>
    </w:p>
    <w:p>
      <w:pPr>
        <w:pStyle w:val="3"/>
        <w:spacing w:before="62" w:after="62"/>
        <w:ind w:firstLine="480"/>
      </w:pPr>
      <w:r>
        <w:t>在城市化进程加速密集的背景下，垃圾分类已成为环境治理的重要课题。同时，传统的人工分拣效率较为低下，需要考虑更加快速且准确的识别分类方式</w:t>
      </w:r>
      <w:r>
        <w:rPr>
          <w:rFonts w:hint="eastAsia"/>
        </w:rPr>
        <w:t>。</w:t>
      </w:r>
      <w:r>
        <w:t>首都高校垃圾分类课题组调研进一步揭示，北京6所试点高校存在厨余垃圾就地减量技术缺失、智能垃圾桶覆盖率不足30%等痛点，而传统人工督导模式存在人力成本高（约占运营成本60%）、监管盲区多等问题。</w:t>
      </w:r>
    </w:p>
    <w:p>
      <w:pPr>
        <w:pStyle w:val="3"/>
        <w:spacing w:before="62" w:after="62"/>
        <w:ind w:firstLine="480"/>
        <w:rPr>
          <w:color w:val="FCD5B5" w:themeColor="accent6" w:themeTint="66"/>
          <w14:textFill>
            <w14:solidFill>
              <w14:schemeClr w14:val="accent6">
                <w14:lumMod w14:val="40000"/>
                <w14:lumOff w14:val="60000"/>
              </w14:schemeClr>
            </w14:solidFill>
          </w14:textFill>
        </w:rPr>
      </w:pPr>
      <w:r>
        <w:rPr>
          <w:rFonts w:hint="eastAsia"/>
        </w:rPr>
        <w:t>国家住房和城乡建设部于</w:t>
      </w:r>
      <w:r>
        <w:t>2017年12月发布的《关于加快推进部分重点城市生活垃圾分类工作的通知》</w:t>
      </w:r>
      <w:r>
        <w:rPr>
          <w:vertAlign w:val="superscript"/>
        </w:rPr>
        <w:t>[</w:t>
      </w:r>
      <w:r>
        <w:rPr>
          <w:rFonts w:hint="eastAsia"/>
          <w:vertAlign w:val="superscript"/>
        </w:rPr>
        <w:t>2</w:t>
      </w:r>
      <w:r>
        <w:rPr>
          <w:vertAlign w:val="superscript"/>
        </w:rPr>
        <w:t>]</w:t>
      </w:r>
      <w:r>
        <w:t xml:space="preserve"> 中也明确了2019年全国正式启动垃圾分类工作。面对传统治理手段的局限性，基于深度学习的视觉检测技术为垃圾分类提供了创新解决方案。YOLO系列模型凭借单阶段检测的高效性已展现显著优势，如YOLOv5s在景区垃圾分类中实现93.6%的整体精度。</w:t>
      </w:r>
    </w:p>
    <w:p>
      <w:pPr>
        <w:pStyle w:val="4"/>
        <w:spacing w:before="468" w:after="93"/>
      </w:pPr>
      <w:bookmarkStart w:id="2" w:name="_Toc11599"/>
      <w:r>
        <w:rPr>
          <w:rFonts w:hint="eastAsia"/>
        </w:rPr>
        <w:t>可行性分析</w:t>
      </w:r>
      <w:bookmarkEnd w:id="2"/>
    </w:p>
    <w:p>
      <w:pPr>
        <w:pStyle w:val="5"/>
        <w:spacing w:before="312" w:after="62"/>
      </w:pPr>
      <w:r>
        <w:t>技术可行性</w:t>
      </w:r>
    </w:p>
    <w:p>
      <w:pPr>
        <w:pStyle w:val="3"/>
        <w:numPr>
          <w:ilvl w:val="0"/>
          <w:numId w:val="2"/>
        </w:numPr>
        <w:spacing w:before="62" w:after="62"/>
        <w:ind w:firstLineChars="0"/>
      </w:pPr>
      <w:r>
        <w:rPr>
          <w:rFonts w:hint="eastAsia"/>
        </w:rPr>
        <w:t>采用成熟的技术栈</w:t>
      </w:r>
    </w:p>
    <w:p>
      <w:pPr>
        <w:pStyle w:val="3"/>
        <w:spacing w:before="62" w:after="62"/>
        <w:ind w:firstLine="480"/>
      </w:pPr>
      <w:r>
        <w:rPr>
          <w:rFonts w:hint="eastAsia"/>
        </w:rPr>
        <w:t>YOLO模型：使用的是 YOLO（You Only Look Once）系列目标检测模型，这些模型在工业界和学术界广泛应用，具备高精度与实时性。</w:t>
      </w:r>
    </w:p>
    <w:p>
      <w:pPr>
        <w:pStyle w:val="3"/>
        <w:spacing w:before="62" w:after="62"/>
        <w:ind w:firstLine="480"/>
      </w:pPr>
      <w:r>
        <w:rPr>
          <w:rFonts w:hint="eastAsia"/>
        </w:rPr>
        <w:t>PyQt5 图形界面框架：PyQt5 是 Python 中广泛使用的 GUI 开发工具包，适合开发桌面应用程序，学习曲线平缓，社区资源丰富。</w:t>
      </w:r>
    </w:p>
    <w:p>
      <w:pPr>
        <w:pStyle w:val="3"/>
        <w:spacing w:before="62" w:after="62"/>
        <w:ind w:firstLine="480"/>
      </w:pPr>
      <w:r>
        <w:rPr>
          <w:rFonts w:hint="eastAsia"/>
        </w:rPr>
        <w:t>OpenCV 图像处理库：用于图像采集、预处理、绘制检测框等操作，是计算机视觉领域的标准库之一。</w:t>
      </w:r>
    </w:p>
    <w:p>
      <w:pPr>
        <w:pStyle w:val="3"/>
        <w:numPr>
          <w:ilvl w:val="0"/>
          <w:numId w:val="2"/>
        </w:numPr>
        <w:spacing w:before="62" w:after="62"/>
        <w:ind w:firstLineChars="0"/>
      </w:pPr>
      <w:r>
        <w:rPr>
          <w:rFonts w:hint="eastAsia"/>
        </w:rPr>
        <w:t>模型部署简单</w:t>
      </w:r>
    </w:p>
    <w:p>
      <w:pPr>
        <w:pStyle w:val="3"/>
        <w:spacing w:before="62" w:after="62"/>
        <w:ind w:firstLine="480"/>
      </w:pPr>
      <w:r>
        <w:rPr>
          <w:rFonts w:hint="eastAsia"/>
        </w:rPr>
        <w:t>模型训练可在本地或云平台完成，训练完成后导出.pt文件即可直接部署到本地程序中。模型推理部分只需加载权重文件，不需要高性能服务器，普通笔记本电脑即可运行。</w:t>
      </w:r>
    </w:p>
    <w:p>
      <w:pPr>
        <w:pStyle w:val="3"/>
        <w:numPr>
          <w:ilvl w:val="0"/>
          <w:numId w:val="2"/>
        </w:numPr>
        <w:spacing w:before="62" w:after="62"/>
        <w:ind w:firstLineChars="0"/>
      </w:pPr>
      <w:r>
        <w:rPr>
          <w:rFonts w:hint="eastAsia"/>
        </w:rPr>
        <w:t>代码结构清晰</w:t>
      </w:r>
    </w:p>
    <w:p>
      <w:pPr>
        <w:pStyle w:val="3"/>
        <w:spacing w:before="62" w:after="62"/>
        <w:ind w:firstLine="480"/>
      </w:pPr>
      <w:r>
        <w:rPr>
          <w:rFonts w:hint="eastAsia"/>
        </w:rPr>
        <w:t>整个项目模块化设计良好，包括摄像头线程、图像处理、UI 控件管理等，便于维护和扩展；同时使用多线程机制来处理视频流和模型推理，避免界面卡顿，提升了用户体验。</w:t>
      </w:r>
    </w:p>
    <w:p>
      <w:pPr>
        <w:pStyle w:val="5"/>
        <w:spacing w:before="312" w:after="62"/>
      </w:pPr>
      <w:r>
        <w:t>经济可行性</w:t>
      </w:r>
    </w:p>
    <w:p>
      <w:pPr>
        <w:pStyle w:val="3"/>
        <w:spacing w:before="62" w:after="62"/>
        <w:ind w:firstLine="480"/>
      </w:pPr>
      <w:r>
        <w:t>传统智能分类设备单台成本超5万元，而基于YOLOv11的方案仅需低成本边缘设备</w:t>
      </w:r>
      <w:r>
        <w:rPr>
          <w:rFonts w:hint="eastAsia"/>
        </w:rPr>
        <w:t>（例如AI+教学实验平台）</w:t>
      </w:r>
      <w:r>
        <w:t>即可实现同等精度。以改进YOLOv5s为例，参数量压缩后模型体积缩小至原77.9%，显著降低硬件算力需求。此外，开源框架（如PyTorch、TensorFlow）和社区资源的丰富性可减少开发成本，且通过迁移学习技术，可利用现有垃圾数据集（如URPC、RUOD）进行微调，避免从零构建数据集的高昂投入。长期运维中，智能识别可减少人工督导成本（占传统模式运营成本的60%）。</w:t>
      </w:r>
    </w:p>
    <w:p>
      <w:pPr>
        <w:pStyle w:val="5"/>
        <w:spacing w:before="312" w:after="62"/>
      </w:pPr>
      <w:r>
        <w:t>社会效益可行性</w:t>
      </w:r>
    </w:p>
    <w:p>
      <w:pPr>
        <w:pStyle w:val="3"/>
        <w:spacing w:before="62" w:after="62"/>
        <w:ind w:firstLine="480"/>
      </w:pPr>
      <w:r>
        <w:t>项目响应国家政策导向</w:t>
      </w:r>
      <w:r>
        <w:rPr>
          <w:rFonts w:hint="eastAsia"/>
        </w:rPr>
        <w:t>，</w:t>
      </w:r>
      <w:r>
        <w:t>教育部要求2020年底高校垃圾分类知识普及率达100%，但实际调研显示仅48%学生接受过系统教育，且混投率高达30%。通过实时检测与错误投放记录的反馈机制，可推动分类行为从被动监管向主动参与转变，助力环保体系建设。据北京市“十四五”规划，生活垃圾无害化处理率需稳定在100%，本项目通过提升分类准确率间接促进资源回收率提升，减少填埋与焚烧带来的碳排放。此外，项目可作为教育载体，通过数据可视化（如Grad-CAM）增强</w:t>
      </w:r>
      <w:r>
        <w:rPr>
          <w:rFonts w:hint="eastAsia"/>
        </w:rPr>
        <w:t>学习者</w:t>
      </w:r>
      <w:r>
        <w:t>环保认知。</w:t>
      </w:r>
    </w:p>
    <w:p>
      <w:pPr>
        <w:pStyle w:val="5"/>
        <w:spacing w:before="312" w:after="62"/>
      </w:pPr>
      <w:r>
        <w:t>运行环境可行性</w:t>
      </w:r>
    </w:p>
    <w:p>
      <w:pPr>
        <w:pStyle w:val="3"/>
        <w:spacing w:before="62" w:after="62"/>
        <w:ind w:firstLine="480"/>
      </w:pPr>
      <w:r>
        <w:rPr>
          <w:rFonts w:hint="eastAsia"/>
        </w:rPr>
        <w:t>基于垃圾分类场所的特殊性质，</w:t>
      </w:r>
      <w:r>
        <w:t>光照变化、遮挡干扰等复杂因素</w:t>
      </w:r>
      <w:r>
        <w:rPr>
          <w:rFonts w:hint="eastAsia"/>
        </w:rPr>
        <w:t>会大幅度影响检测环境。</w:t>
      </w:r>
      <w:r>
        <w:t>可通过数据增强技术（如随机光照调整、遮挡模拟）缓解。YOLOv11的CARAFE上采样模块和动态非单调聚焦系数优化技术提升了对多角度目标的适应性。硬件层面，设备算力约束（如CPU≤2.0GHz、内存≤16GB）与YOLOv11的轻量化设计匹配，且相机分辨率上限（600万像素）与常见摄像头规格一致</w:t>
      </w:r>
      <w:r>
        <w:rPr>
          <w:rFonts w:hint="eastAsia"/>
        </w:rPr>
        <w:t>。数据采集端，基于赛事组委会通知，引入项目团队采集数据与项目实践单位数据集，符合赛事规则。</w:t>
      </w:r>
    </w:p>
    <w:p>
      <w:pPr>
        <w:pStyle w:val="5"/>
        <w:spacing w:before="312" w:after="62"/>
      </w:pPr>
      <w:r>
        <w:t>政策和资源可靠性</w:t>
      </w:r>
    </w:p>
    <w:p>
      <w:pPr>
        <w:pStyle w:val="3"/>
        <w:spacing w:before="62" w:after="62"/>
        <w:ind w:firstLine="480"/>
      </w:pPr>
      <w:r>
        <w:t>《关于加快推进部分重点城市生活垃圾分类工作的通知》（住建部，2017）与《高等学校人工智能创新行动计划》（教育部，2018）明确支持垃圾分类技术研发与教育应用。</w:t>
      </w:r>
    </w:p>
    <w:p>
      <w:pPr>
        <w:pStyle w:val="3"/>
        <w:spacing w:before="62" w:after="62"/>
        <w:ind w:firstLine="480"/>
      </w:pPr>
      <w:r>
        <w:t>2023年《算力基础设施高质量发展行动计划》提出公共算力资源覆盖校园，为项目提供算力平台支撑</w:t>
      </w:r>
      <w:r>
        <w:rPr>
          <w:rFonts w:hint="eastAsia"/>
        </w:rPr>
        <w:t>。</w:t>
      </w:r>
      <w:r>
        <w:t>此外，赛事推荐的边缘计算设备（如AI+教学实验平台）与YOLOv11的部署需求高度契合，确保技术方案的可实施性。</w:t>
      </w:r>
    </w:p>
    <w:p>
      <w:pPr>
        <w:pStyle w:val="4"/>
        <w:spacing w:before="468" w:after="93"/>
        <w:jc w:val="left"/>
      </w:pPr>
      <w:bookmarkStart w:id="3" w:name="_Toc27666"/>
      <w:r>
        <w:rPr>
          <w:rFonts w:hint="eastAsia"/>
        </w:rPr>
        <w:t>作品技术路线</w:t>
      </w:r>
      <w:bookmarkEnd w:id="3"/>
    </w:p>
    <w:p>
      <w:pPr>
        <w:pStyle w:val="3"/>
        <w:spacing w:before="62" w:after="62"/>
        <w:ind w:firstLine="0" w:firstLineChars="0"/>
        <w:jc w:val="center"/>
      </w:pPr>
      <w:r>
        <w:rPr>
          <w:rFonts w:hint="eastAsia"/>
        </w:rPr>
        <w:drawing>
          <wp:inline distT="0" distB="0" distL="0" distR="0">
            <wp:extent cx="2468245" cy="3418840"/>
            <wp:effectExtent l="0" t="0" r="8255" b="0"/>
            <wp:docPr id="20252312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31201"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499793" cy="3462913"/>
                    </a:xfrm>
                    <a:prstGeom prst="rect">
                      <a:avLst/>
                    </a:prstGeom>
                    <a:noFill/>
                    <a:ln>
                      <a:noFill/>
                    </a:ln>
                  </pic:spPr>
                </pic:pic>
              </a:graphicData>
            </a:graphic>
          </wp:inline>
        </w:drawing>
      </w:r>
    </w:p>
    <w:p>
      <w:pPr>
        <w:pStyle w:val="12"/>
        <w:spacing w:before="93" w:after="93"/>
      </w:pPr>
      <w:r>
        <w:rPr>
          <w:rFonts w:hint="eastAsia"/>
        </w:rPr>
        <w:t>图1 作品技术路线图</w:t>
      </w:r>
    </w:p>
    <w:p>
      <w:pPr>
        <w:pStyle w:val="4"/>
        <w:spacing w:before="468" w:after="93"/>
      </w:pPr>
      <w:bookmarkStart w:id="4" w:name="_Toc8276"/>
      <w:r>
        <w:rPr>
          <w:rFonts w:hint="eastAsia"/>
        </w:rPr>
        <w:t>作品创新点概述</w:t>
      </w:r>
      <w:bookmarkEnd w:id="4"/>
    </w:p>
    <w:p>
      <w:pPr>
        <w:pStyle w:val="3"/>
        <w:spacing w:before="62" w:after="62"/>
        <w:ind w:firstLine="480"/>
      </w:pPr>
      <w:r>
        <w:t>本项目以YOLOv11模型为核心的垃圾分类检测体系在技术创新与场景适配性层面实现多维突破。通过引入动态非单调聚焦系数优化技术，有效缓解传统YOLO系列模型在复杂光照与多角度目标识别中的精度衰减问题，结合CARAFE上采样模块对特征图空间分辨率的动态增强，使模型在600万像素摄像头约束下对</w:t>
      </w:r>
      <w:r>
        <w:rPr>
          <w:rFonts w:hint="eastAsia"/>
        </w:rPr>
        <w:t>废弃纸张</w:t>
      </w:r>
      <w:r>
        <w:t>、</w:t>
      </w:r>
      <w:r>
        <w:rPr>
          <w:rFonts w:hint="eastAsia"/>
        </w:rPr>
        <w:t>废旧水瓶</w:t>
      </w:r>
      <w:r>
        <w:t>等高频小目标的检测精度提升</w:t>
      </w:r>
      <w:r>
        <w:rPr>
          <w:rFonts w:hint="eastAsia"/>
        </w:rPr>
        <w:t>94</w:t>
      </w:r>
      <w:r>
        <w:t>%。</w:t>
      </w:r>
    </w:p>
    <w:p>
      <w:pPr>
        <w:pStyle w:val="3"/>
        <w:spacing w:before="62" w:after="62"/>
        <w:ind w:firstLine="480"/>
      </w:pPr>
      <w:r>
        <w:t>在数据工程层面，团队将Mosaic增强与K-means++锚框聚类技术结合，构建针对</w:t>
      </w:r>
      <w:r>
        <w:rPr>
          <w:rFonts w:hint="eastAsia"/>
        </w:rPr>
        <w:t>各类</w:t>
      </w:r>
      <w:r>
        <w:t>垃圾形态特征的自适应数据增强策略。通过引入坐标感知的Stem模块和深度可分离卷积技术。这种数据-模型协同优化机制，有效应对</w:t>
      </w:r>
      <w:r>
        <w:rPr>
          <w:rFonts w:hint="eastAsia"/>
        </w:rPr>
        <w:t>现实</w:t>
      </w:r>
      <w:r>
        <w:t>场景中垃圾摆放杂乱、背景干扰强等现实挑战，与当前AI视觉行业强调的</w:t>
      </w:r>
      <w:r>
        <w:rPr>
          <w:rFonts w:hint="eastAsia"/>
        </w:rPr>
        <w:t>“</w:t>
      </w:r>
      <w:r>
        <w:t>原生多模态</w:t>
      </w:r>
      <w:r>
        <w:rPr>
          <w:rFonts w:hint="eastAsia"/>
        </w:rPr>
        <w:t>”</w:t>
      </w:r>
      <w:r>
        <w:t>发展趋势高度契合</w:t>
      </w:r>
    </w:p>
    <w:p>
      <w:pPr>
        <w:pStyle w:val="3"/>
        <w:spacing w:before="62" w:after="62"/>
        <w:ind w:firstLine="480"/>
      </w:pPr>
      <w:r>
        <w:t>技术实现上采用上下文引导模块增强多尺度特征提取能力，设计轻量化高效聚合模块降低特征冗余参数量，并融合重参数化策略与细节增强卷积构建DEC-Head检测头</w:t>
      </w:r>
      <w:r>
        <w:rPr>
          <w:rFonts w:hint="eastAsia"/>
        </w:rPr>
        <w:t>。</w:t>
      </w:r>
      <w:r>
        <w:t>改进的Wise-Inner-MPD损失函数使模型泛化能力提升，在URPC数据集实验中mAP50和mAP50-90分别提升2.4和2.1个百分点。这种技术创新既符合教育部《高等学校人工智能创新行动计划》的教育赋能导向，也响应住建部垃圾分类政策的技术要求</w:t>
      </w:r>
      <w:r>
        <w:rPr>
          <w:rFonts w:hint="eastAsia"/>
          <w:vertAlign w:val="superscript"/>
        </w:rPr>
        <w:t>[</w:t>
      </w:r>
      <w:r>
        <w:rPr>
          <w:vertAlign w:val="superscript"/>
        </w:rPr>
        <w:t>3]</w:t>
      </w:r>
      <w:r>
        <w:t>，同时通过自动化流水线设计实现从数据采集到模型部署的全流程闭环，满足睿抗机器人开发者大赛对端到端技术闭环的考核标准。</w:t>
      </w:r>
    </w:p>
    <w:p>
      <w:pPr>
        <w:pStyle w:val="4"/>
        <w:spacing w:before="468" w:after="93"/>
        <w:rPr>
          <w:color w:val="000000" w:themeColor="text1"/>
          <w14:textFill>
            <w14:solidFill>
              <w14:schemeClr w14:val="tx1"/>
            </w14:solidFill>
          </w14:textFill>
        </w:rPr>
      </w:pPr>
      <w:bookmarkStart w:id="5" w:name="_Toc5661"/>
      <w:r>
        <w:rPr>
          <w:rFonts w:hint="eastAsia"/>
          <w:color w:val="000000" w:themeColor="text1"/>
          <w14:textFill>
            <w14:solidFill>
              <w14:schemeClr w14:val="tx1"/>
            </w14:solidFill>
          </w14:textFill>
        </w:rPr>
        <w:t>预期测试效果</w:t>
      </w:r>
      <w:bookmarkEnd w:id="5"/>
    </w:p>
    <w:p>
      <w:pPr>
        <w:pStyle w:val="3"/>
        <w:numPr>
          <w:ilvl w:val="0"/>
          <w:numId w:val="3"/>
        </w:numPr>
        <w:spacing w:before="62" w:after="62"/>
        <w:ind w:left="0" w:firstLine="0" w:firstLineChars="0"/>
      </w:pPr>
      <w:r>
        <w:rPr>
          <w:rFonts w:hint="eastAsia"/>
        </w:rPr>
        <w:t>能够识别检测物品种类并标注出检测物的中英文名称、所属垃圾分类、数量、置信度、建议等信息；</w:t>
      </w:r>
    </w:p>
    <w:p>
      <w:pPr>
        <w:pStyle w:val="3"/>
        <w:numPr>
          <w:ilvl w:val="0"/>
          <w:numId w:val="3"/>
        </w:numPr>
        <w:spacing w:before="62" w:after="62"/>
        <w:ind w:left="0" w:firstLine="0" w:firstLineChars="0"/>
      </w:pPr>
      <w:r>
        <w:rPr>
          <w:rFonts w:hint="eastAsia"/>
        </w:rPr>
        <w:t>在调整置信度时，能够实时动态调整检测信息，报出相应的检测报告；</w:t>
      </w:r>
    </w:p>
    <w:p>
      <w:pPr>
        <w:pStyle w:val="3"/>
        <w:numPr>
          <w:ilvl w:val="0"/>
          <w:numId w:val="3"/>
        </w:numPr>
        <w:spacing w:before="62" w:after="62"/>
        <w:ind w:left="0" w:firstLine="0" w:firstLineChars="0"/>
      </w:pPr>
      <w:r>
        <w:rPr>
          <w:rFonts w:hint="eastAsia"/>
        </w:rPr>
        <w:t>输出检测报告到数据库，可以在后续回看数据；</w:t>
      </w:r>
    </w:p>
    <w:p>
      <w:pPr>
        <w:pStyle w:val="3"/>
        <w:numPr>
          <w:ilvl w:val="0"/>
          <w:numId w:val="3"/>
        </w:numPr>
        <w:spacing w:before="62" w:after="62"/>
        <w:ind w:left="0" w:firstLine="0" w:firstLineChars="0"/>
      </w:pPr>
      <w:r>
        <w:rPr>
          <w:rFonts w:hint="eastAsia"/>
        </w:rPr>
        <w:t>可视化界面，在项目完整的情况下尽量使操作界面简洁易懂；</w:t>
      </w:r>
    </w:p>
    <w:p>
      <w:pPr>
        <w:pStyle w:val="3"/>
        <w:numPr>
          <w:ilvl w:val="0"/>
          <w:numId w:val="3"/>
        </w:numPr>
        <w:spacing w:before="62" w:after="62"/>
        <w:ind w:left="0" w:firstLine="0" w:firstLineChars="0"/>
      </w:pPr>
      <w:r>
        <w:rPr>
          <w:rFonts w:hint="eastAsia"/>
        </w:rPr>
        <w:t>问答界面可以实现问答并实现对于垃圾分类常见知识点输出。</w:t>
      </w:r>
    </w:p>
    <w:p>
      <w:pPr>
        <w:pStyle w:val="3"/>
        <w:numPr>
          <w:ilvl w:val="0"/>
          <w:numId w:val="3"/>
        </w:numPr>
        <w:spacing w:before="62" w:after="62"/>
        <w:ind w:left="0" w:firstLine="0" w:firstLineChars="0"/>
      </w:pPr>
      <w:r>
        <w:rPr>
          <w:rFonts w:hint="eastAsia"/>
        </w:rPr>
        <w:t>设置面向中小学生的问答系统，激发中小学生的环保意识。</w:t>
      </w:r>
    </w:p>
    <w:p>
      <w:pPr>
        <w:pStyle w:val="2"/>
        <w:spacing w:before="936" w:after="156"/>
      </w:pPr>
      <w:bookmarkStart w:id="6" w:name="_Toc4232"/>
      <w:r>
        <w:rPr>
          <w:rFonts w:hint="eastAsia"/>
        </w:rPr>
        <w:t>问题分析</w:t>
      </w:r>
      <w:bookmarkEnd w:id="6"/>
    </w:p>
    <w:p>
      <w:pPr>
        <w:pStyle w:val="4"/>
        <w:spacing w:before="468" w:after="93"/>
      </w:pPr>
      <w:bookmarkStart w:id="7" w:name="_Toc5030"/>
      <w:r>
        <w:rPr>
          <w:rFonts w:hint="eastAsia"/>
        </w:rPr>
        <w:t>设备性能限制</w:t>
      </w:r>
      <w:bookmarkEnd w:id="7"/>
    </w:p>
    <w:p>
      <w:pPr>
        <w:pStyle w:val="3"/>
        <w:spacing w:before="62" w:after="62"/>
        <w:ind w:firstLine="480"/>
      </w:pPr>
      <w:r>
        <w:rPr>
          <w:rFonts w:hint="eastAsia"/>
        </w:rPr>
        <w:t>基于2025年睿抗开发者大会比赛规则：</w:t>
      </w:r>
    </w:p>
    <w:p>
      <w:pPr>
        <w:pStyle w:val="3"/>
        <w:spacing w:before="62" w:after="62"/>
        <w:ind w:firstLine="0" w:firstLineChars="0"/>
        <w:rPr>
          <w:b/>
          <w:bCs/>
        </w:rPr>
      </w:pPr>
      <w:r>
        <w:rPr>
          <w:b/>
          <w:bCs/>
        </w:rPr>
        <w:t>硬件性能约束</w:t>
      </w:r>
    </w:p>
    <w:p>
      <w:pPr>
        <w:pStyle w:val="3"/>
        <w:spacing w:before="62" w:after="62"/>
        <w:ind w:firstLine="480"/>
      </w:pPr>
      <w:r>
        <w:t>算力限制：设备需满足以下性能上限：</w:t>
      </w:r>
    </w:p>
    <w:p>
      <w:pPr>
        <w:pStyle w:val="3"/>
        <w:spacing w:before="62" w:after="62"/>
        <w:ind w:firstLine="480"/>
      </w:pPr>
      <w:r>
        <w:t>CPU：基础频率不高于2.0 GHz、睿频加速不高于4.4 GHz、三级</w:t>
      </w:r>
      <w:r>
        <w:rPr>
          <w:rFonts w:hint="eastAsia"/>
        </w:rPr>
        <w:t>缓存（</w:t>
      </w:r>
      <w:r>
        <w:t>L3 Cache）</w:t>
      </w:r>
      <w:r>
        <w:rPr>
          <w:rFonts w:hint="eastAsia"/>
        </w:rPr>
        <w:t>≤</w:t>
      </w:r>
      <w:r>
        <w:t>12MB；</w:t>
      </w:r>
    </w:p>
    <w:p>
      <w:pPr>
        <w:pStyle w:val="3"/>
        <w:spacing w:before="62" w:after="62"/>
        <w:ind w:firstLine="480"/>
      </w:pPr>
      <w:r>
        <w:t>内存：</w:t>
      </w:r>
      <w:r>
        <w:rPr>
          <w:rFonts w:hint="eastAsia"/>
        </w:rPr>
        <w:t>≤</w:t>
      </w:r>
      <w:r>
        <w:t>16GB；</w:t>
      </w:r>
    </w:p>
    <w:p>
      <w:pPr>
        <w:pStyle w:val="3"/>
        <w:spacing w:before="62" w:after="62"/>
        <w:ind w:firstLine="480"/>
      </w:pPr>
      <w:r>
        <w:t>存储：</w:t>
      </w:r>
      <w:r>
        <w:rPr>
          <w:rFonts w:hint="eastAsia"/>
        </w:rPr>
        <w:t>≤</w:t>
      </w:r>
      <w:r>
        <w:t>1T 固态硬盘。</w:t>
      </w:r>
    </w:p>
    <w:p>
      <w:pPr>
        <w:pStyle w:val="3"/>
        <w:spacing w:before="62" w:after="62"/>
        <w:ind w:firstLine="0" w:firstLineChars="0"/>
        <w:rPr>
          <w:b/>
          <w:bCs/>
        </w:rPr>
      </w:pPr>
      <w:r>
        <w:rPr>
          <w:b/>
          <w:bCs/>
        </w:rPr>
        <w:t>视觉模块要求：</w:t>
      </w:r>
    </w:p>
    <w:p>
      <w:pPr>
        <w:pStyle w:val="3"/>
        <w:spacing w:before="62" w:after="62"/>
        <w:ind w:firstLine="480"/>
      </w:pPr>
      <w:r>
        <w:t>相机分辨率上限：</w:t>
      </w:r>
      <w:r>
        <w:rPr>
          <w:rFonts w:hint="eastAsia"/>
        </w:rPr>
        <w:t>≤</w:t>
      </w:r>
      <w:r>
        <w:t>3072×2048（600万像素）。</w:t>
      </w:r>
    </w:p>
    <w:p>
      <w:pPr>
        <w:pStyle w:val="4"/>
        <w:spacing w:before="468" w:after="93"/>
      </w:pPr>
      <w:bookmarkStart w:id="8" w:name="_Toc25117"/>
      <w:r>
        <w:rPr>
          <w:rFonts w:hint="eastAsia"/>
        </w:rPr>
        <w:t>垃圾种类扫描充分程度</w:t>
      </w:r>
      <w:bookmarkEnd w:id="8"/>
    </w:p>
    <w:p>
      <w:pPr>
        <w:pStyle w:val="3"/>
        <w:spacing w:before="62" w:after="62"/>
        <w:ind w:firstLine="480"/>
      </w:pPr>
      <w:r>
        <w:t>扫描不充分直接影响分类系统的实用性。</w:t>
      </w:r>
      <w:r>
        <w:rPr>
          <w:rFonts w:hint="eastAsia"/>
        </w:rPr>
        <w:t>生活</w:t>
      </w:r>
      <w:r>
        <w:t>垃圾分类需兼顾效率与：若系统因资源限制无法稳定检测，将加剧分类设施使用体验的不均衡</w:t>
      </w:r>
      <w:r>
        <w:rPr>
          <w:rFonts w:hint="eastAsia"/>
        </w:rPr>
        <w:t>。</w:t>
      </w:r>
      <w:r>
        <w:t>因设备性能不足导致分类效率低下，可能引发</w:t>
      </w:r>
      <w:r>
        <w:rPr>
          <w:rFonts w:hint="eastAsia"/>
        </w:rPr>
        <w:t>使用人员</w:t>
      </w:r>
      <w:r>
        <w:t>抵触情绪，与住建部“生活垃圾分类工作提质增效”的政策目标相悖。因此，必须通过技术手段适配资源约束，确保分类系统在多元场景中的普适性。</w:t>
      </w:r>
    </w:p>
    <w:p>
      <w:pPr>
        <w:pStyle w:val="4"/>
        <w:spacing w:before="468" w:after="93"/>
      </w:pPr>
      <w:bookmarkStart w:id="9" w:name="_Toc8816"/>
      <w:r>
        <w:rPr>
          <w:rFonts w:hint="eastAsia"/>
        </w:rPr>
        <w:t>精准统计及识别完整性</w:t>
      </w:r>
      <w:bookmarkEnd w:id="9"/>
    </w:p>
    <w:p>
      <w:pPr>
        <w:pStyle w:val="3"/>
        <w:spacing w:before="62" w:after="62"/>
        <w:ind w:firstLine="480"/>
      </w:pPr>
      <w:r>
        <w:t>精准统计是垃圾分类闭环管理的关键。教育部《高等学校人工智能创新行动计划》强调“数据驱动资源回收”，而小体积垃圾的识别盲区会破坏数据完整性。因此，必须突破小目标统计的技术瓶颈，支撑数据化治理决策。</w:t>
      </w:r>
    </w:p>
    <w:p>
      <w:pPr>
        <w:pStyle w:val="4"/>
        <w:spacing w:before="468" w:after="93"/>
      </w:pPr>
      <w:bookmarkStart w:id="10" w:name="_Toc1217"/>
      <w:r>
        <w:rPr>
          <w:rFonts w:hint="eastAsia"/>
        </w:rPr>
        <w:t>同类垃圾相似度及重复扫描</w:t>
      </w:r>
      <w:bookmarkEnd w:id="10"/>
    </w:p>
    <w:p>
      <w:pPr>
        <w:pStyle w:val="3"/>
        <w:spacing w:before="62" w:after="62"/>
        <w:ind w:firstLine="480"/>
      </w:pPr>
      <w:r>
        <w:t>解决相似类混淆和重复扫描是提升系统可信度的核心。此外，重复扫描问题可能掩盖真实垃圾产生规律，例如误将单次大规模投放解读为高频次行为，导致资源配置失误。因此，必须通过算法优化实现精准识别与个体分离，支撑精细化治理。</w:t>
      </w:r>
    </w:p>
    <w:p>
      <w:pPr>
        <w:pStyle w:val="2"/>
        <w:spacing w:before="936" w:after="156"/>
      </w:pPr>
      <w:bookmarkStart w:id="11" w:name="_Toc16541"/>
      <w:r>
        <w:rPr>
          <w:rFonts w:hint="eastAsia"/>
        </w:rPr>
        <w:t>技术方案</w:t>
      </w:r>
      <w:bookmarkEnd w:id="11"/>
    </w:p>
    <w:p>
      <w:pPr>
        <w:pStyle w:val="4"/>
        <w:spacing w:before="468" w:after="93"/>
        <w:rPr>
          <w:color w:val="000000" w:themeColor="text1"/>
          <w14:textFill>
            <w14:solidFill>
              <w14:schemeClr w14:val="tx1"/>
            </w14:solidFill>
          </w14:textFill>
        </w:rPr>
      </w:pPr>
      <w:bookmarkStart w:id="12" w:name="_Toc16015"/>
      <w:bookmarkStart w:id="13" w:name="OLE_LINK1"/>
      <w:r>
        <w:rPr>
          <w:rFonts w:hint="eastAsia"/>
          <w:color w:val="000000" w:themeColor="text1"/>
          <w14:textFill>
            <w14:solidFill>
              <w14:schemeClr w14:val="tx1"/>
            </w14:solidFill>
          </w14:textFill>
        </w:rPr>
        <w:t>作品主要内容</w:t>
      </w:r>
      <w:bookmarkEnd w:id="12"/>
    </w:p>
    <w:bookmarkEnd w:id="13"/>
    <w:p>
      <w:pPr>
        <w:pStyle w:val="5"/>
        <w:spacing w:before="312" w:after="62"/>
      </w:pPr>
      <w:r>
        <w:rPr>
          <w:rFonts w:hint="eastAsia"/>
        </w:rPr>
        <w:t>项目介绍</w:t>
      </w:r>
    </w:p>
    <w:p>
      <w:pPr>
        <w:pStyle w:val="3"/>
        <w:spacing w:before="62" w:after="62"/>
        <w:ind w:firstLine="480"/>
      </w:pPr>
      <w:r>
        <w:rPr>
          <w:rFonts w:hint="eastAsia"/>
        </w:rPr>
        <w:t>本项目基于改进YOLOv11模型构建轻量化垃圾分类检测系统，采用端到端深度学习框架实现动态环境下的高精度目标识别。技术路线以轻量化模型设计为核心，融合多尺度特征提取与高效数据增强策略，形成“数据采集-模型优化-边缘部署-反馈闭环”的全流程体系，如图2所示。系统通过上下文引导模块增强小目标特征感知能力，结合轻量化聚合模块降低计算复杂度。</w:t>
      </w:r>
    </w:p>
    <w:p>
      <w:pPr>
        <w:pStyle w:val="3"/>
        <w:keepNext/>
        <w:spacing w:before="62" w:after="62"/>
        <w:ind w:firstLine="0" w:firstLineChars="0"/>
      </w:pPr>
      <w:r>
        <w:rPr>
          <w:rFonts w:hint="eastAsia"/>
        </w:rPr>
        <w:drawing>
          <wp:inline distT="0" distB="0" distL="0" distR="0">
            <wp:extent cx="2501900" cy="1143635"/>
            <wp:effectExtent l="0" t="0" r="0" b="0"/>
            <wp:docPr id="9463228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22884"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01900" cy="1143635"/>
                    </a:xfrm>
                    <a:prstGeom prst="rect">
                      <a:avLst/>
                    </a:prstGeom>
                    <a:noFill/>
                    <a:ln>
                      <a:noFill/>
                    </a:ln>
                  </pic:spPr>
                </pic:pic>
              </a:graphicData>
            </a:graphic>
          </wp:inline>
        </w:drawing>
      </w:r>
    </w:p>
    <w:p>
      <w:pPr>
        <w:pStyle w:val="12"/>
        <w:spacing w:before="93" w:after="93"/>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w:t>
      </w:r>
      <w:r>
        <w:fldChar w:fldCharType="end"/>
      </w:r>
      <w:r>
        <w:rPr>
          <w:rFonts w:hint="eastAsia"/>
        </w:rPr>
        <w:t xml:space="preserve"> 作品介绍图</w:t>
      </w:r>
    </w:p>
    <w:p>
      <w:pPr>
        <w:pStyle w:val="3"/>
        <w:spacing w:before="62" w:after="62"/>
        <w:ind w:firstLine="480"/>
      </w:pPr>
      <w:r>
        <w:rPr>
          <w:rFonts w:hint="eastAsia"/>
        </w:rPr>
        <w:t>系统采用先进的目标检测算法YOLOv11n作为核心模型，并结合多线程处理、数据增强和自定义损失函数等技术手段，实现了高效准确的实时检测能力。</w:t>
      </w:r>
    </w:p>
    <w:p>
      <w:pPr>
        <w:pStyle w:val="3"/>
        <w:spacing w:before="62" w:after="62"/>
        <w:ind w:firstLine="480"/>
        <w:jc w:val="center"/>
      </w:pPr>
    </w:p>
    <w:p>
      <w:pPr>
        <w:pStyle w:val="5"/>
        <w:spacing w:before="312" w:after="62"/>
      </w:pPr>
      <w:r>
        <w:rPr>
          <w:rFonts w:hint="eastAsia"/>
        </w:rPr>
        <w:t>系统特色总结</w:t>
      </w:r>
    </w:p>
    <w:p>
      <w:pPr>
        <w:pStyle w:val="3"/>
        <w:numPr>
          <w:ilvl w:val="0"/>
          <w:numId w:val="4"/>
        </w:numPr>
        <w:spacing w:before="62" w:after="62"/>
        <w:ind w:left="0" w:firstLine="0" w:firstLineChars="0"/>
      </w:pPr>
      <w:r>
        <w:rPr>
          <w:rFonts w:hint="eastAsia"/>
        </w:rPr>
        <w:t>轻量化部署：采用YOLOv11n在保证精度的同时显著降低资源消耗；</w:t>
      </w:r>
    </w:p>
    <w:p>
      <w:pPr>
        <w:pStyle w:val="3"/>
        <w:numPr>
          <w:ilvl w:val="0"/>
          <w:numId w:val="4"/>
        </w:numPr>
        <w:spacing w:before="62" w:after="62"/>
        <w:ind w:left="0" w:firstLine="0" w:firstLineChars="0"/>
      </w:pPr>
      <w:r>
        <w:rPr>
          <w:rFonts w:hint="eastAsia"/>
        </w:rPr>
        <w:t>多线程架构：分离采集、推理、显示线程，提高整体吞吐量；</w:t>
      </w:r>
    </w:p>
    <w:p>
      <w:pPr>
        <w:pStyle w:val="3"/>
        <w:numPr>
          <w:ilvl w:val="0"/>
          <w:numId w:val="4"/>
        </w:numPr>
        <w:spacing w:before="62" w:after="62"/>
        <w:ind w:left="0" w:firstLine="0" w:firstLineChars="0"/>
      </w:pPr>
      <w:r>
        <w:rPr>
          <w:rFonts w:hint="eastAsia"/>
        </w:rPr>
        <w:t>智能帧缓存：通过多帧投票机制提升检测稳定性；</w:t>
      </w:r>
    </w:p>
    <w:p>
      <w:pPr>
        <w:pStyle w:val="3"/>
        <w:numPr>
          <w:ilvl w:val="0"/>
          <w:numId w:val="4"/>
        </w:numPr>
        <w:spacing w:before="62" w:after="62"/>
        <w:ind w:left="0" w:firstLine="0" w:firstLineChars="0"/>
      </w:pPr>
      <w:r>
        <w:rPr>
          <w:rFonts w:hint="eastAsia"/>
        </w:rPr>
        <w:t>自定义损失函数：针对不平衡数据集优化训练过程；</w:t>
      </w:r>
    </w:p>
    <w:p>
      <w:pPr>
        <w:pStyle w:val="3"/>
        <w:numPr>
          <w:ilvl w:val="0"/>
          <w:numId w:val="4"/>
        </w:numPr>
        <w:spacing w:before="62" w:after="62"/>
        <w:ind w:left="0" w:firstLine="0" w:firstLineChars="0"/>
      </w:pPr>
      <w:r>
        <w:rPr>
          <w:rFonts w:hint="eastAsia"/>
        </w:rPr>
        <w:t>丰富的可视化：包括检测框、置信度、分类统计等多层次展示；</w:t>
      </w:r>
    </w:p>
    <w:p>
      <w:pPr>
        <w:pStyle w:val="3"/>
        <w:numPr>
          <w:ilvl w:val="0"/>
          <w:numId w:val="4"/>
        </w:numPr>
        <w:spacing w:before="62" w:after="62"/>
        <w:ind w:left="0" w:firstLine="0" w:firstLineChars="0"/>
      </w:pPr>
      <w:r>
        <w:rPr>
          <w:rFonts w:hint="eastAsia"/>
        </w:rPr>
        <w:t>完整的数据闭环：从采集到分析再到报告输出的完整工作流。</w:t>
      </w:r>
    </w:p>
    <w:p>
      <w:pPr>
        <w:pStyle w:val="4"/>
        <w:spacing w:before="468" w:after="93"/>
        <w:rPr>
          <w:color w:val="000000" w:themeColor="text1"/>
          <w14:textFill>
            <w14:solidFill>
              <w14:schemeClr w14:val="tx1"/>
            </w14:solidFill>
          </w14:textFill>
        </w:rPr>
      </w:pPr>
      <w:bookmarkStart w:id="14" w:name="_Toc25173"/>
      <w:r>
        <w:rPr>
          <w:rFonts w:hint="eastAsia"/>
          <w:color w:val="000000" w:themeColor="text1"/>
          <w14:textFill>
            <w14:solidFill>
              <w14:schemeClr w14:val="tx1"/>
            </w14:solidFill>
          </w14:textFill>
        </w:rPr>
        <w:t>作品问题的解决思路</w:t>
      </w:r>
      <w:bookmarkEnd w:id="14"/>
    </w:p>
    <w:p>
      <w:pPr>
        <w:pStyle w:val="5"/>
        <w:spacing w:before="312" w:after="62"/>
      </w:pPr>
      <w:r>
        <w:rPr>
          <w:rFonts w:hint="eastAsia"/>
        </w:rPr>
        <w:t>不平衡不充分条件下对检测物的扫描不充分</w:t>
      </w:r>
    </w:p>
    <w:p>
      <w:pPr>
        <w:pStyle w:val="3"/>
        <w:spacing w:before="62" w:after="62"/>
        <w:ind w:firstLine="480"/>
      </w:pPr>
      <w:r>
        <w:rPr>
          <w:rFonts w:hint="eastAsia"/>
        </w:rPr>
        <w:t>采用多帧检测，保存稳定性最高的一帧，在一定程度上避免极度模糊导致无法检测，减少对检测到误差及资源浪费。</w:t>
      </w:r>
    </w:p>
    <w:p>
      <w:pPr>
        <w:pStyle w:val="5"/>
        <w:spacing w:before="312" w:after="62"/>
      </w:pPr>
      <w:r>
        <w:rPr>
          <w:rFonts w:hint="eastAsia"/>
        </w:rPr>
        <w:t>对小体积检测物扫描数量众多及冗杂的统计难度</w:t>
      </w:r>
    </w:p>
    <w:p>
      <w:pPr>
        <w:pStyle w:val="3"/>
        <w:spacing w:before="62" w:after="62"/>
        <w:ind w:firstLine="480"/>
      </w:pPr>
      <w:r>
        <w:rPr>
          <w:rFonts w:hint="eastAsia"/>
        </w:rPr>
        <w:t>采用结果地址保存，可以在辨别结束后保存结果，在后期对保存地址进行查询，然后统一进行分类及统计。</w:t>
      </w:r>
    </w:p>
    <w:p>
      <w:pPr>
        <w:pStyle w:val="5"/>
        <w:spacing w:before="312" w:after="62"/>
      </w:pPr>
      <w:r>
        <w:rPr>
          <w:rFonts w:hint="eastAsia"/>
        </w:rPr>
        <w:t>面对垃圾种类高度相似及众多单件重复扫描</w:t>
      </w:r>
    </w:p>
    <w:p>
      <w:pPr>
        <w:pStyle w:val="3"/>
        <w:spacing w:before="62" w:after="62"/>
        <w:ind w:firstLine="480"/>
      </w:pPr>
      <w:r>
        <w:rPr>
          <w:rFonts w:hint="eastAsia"/>
        </w:rPr>
        <w:t>可以同时扫描多个物品，并在不同置信度下提供不同的检测结果，适用于高精度活动广范围多种不同要求场景。</w:t>
      </w:r>
    </w:p>
    <w:p>
      <w:pPr>
        <w:pStyle w:val="5"/>
        <w:spacing w:before="312" w:after="62"/>
      </w:pPr>
      <w:r>
        <w:rPr>
          <w:rFonts w:hint="eastAsia"/>
        </w:rPr>
        <w:t>针对</w:t>
      </w:r>
      <w:r>
        <w:t>数据集的类别数据不平衡</w:t>
      </w:r>
    </w:p>
    <w:p>
      <w:pPr>
        <w:widowControl/>
        <w:jc w:val="left"/>
      </w:pPr>
      <w:r>
        <w:rPr>
          <w:rFonts w:ascii="宋体" w:hAnsi="宋体" w:eastAsia="宋体" w:cs="宋体"/>
          <w:kern w:val="0"/>
          <w:sz w:val="24"/>
          <w:szCs w:val="24"/>
          <w:lang w:bidi="ar"/>
        </w:rPr>
        <w:t>代码中针对数据集类别数据不平衡问题主要使用了以下方法：</w:t>
      </w:r>
    </w:p>
    <w:p>
      <w:pPr>
        <w:pStyle w:val="3"/>
        <w:numPr>
          <w:ilvl w:val="0"/>
          <w:numId w:val="5"/>
        </w:numPr>
        <w:spacing w:before="62" w:after="62"/>
        <w:ind w:left="0" w:firstLine="0" w:firstLineChars="0"/>
      </w:pPr>
      <w:r>
        <w:t>自定义损失函数中的类别权重 (alpha):</w:t>
      </w:r>
    </w:p>
    <w:p>
      <w:pPr>
        <w:pStyle w:val="3"/>
        <w:spacing w:before="62" w:after="62"/>
        <w:ind w:firstLine="480"/>
      </w:pPr>
      <w:r>
        <w:t>解决的具体问题: 直接为不同类别的分类损失赋予不同的重要性权重。对于数据集中样本数量较少的类别，赋予更高的权重；对于样本数量较多的类别，赋予较低的权重。这样在计算总损失时，少数类别的错误会产生更大的损失值，促使模型更关注和学习这些难以识别的少数类别。</w:t>
      </w:r>
    </w:p>
    <w:p>
      <w:pPr>
        <w:pStyle w:val="3"/>
        <w:numPr>
          <w:ilvl w:val="0"/>
          <w:numId w:val="5"/>
        </w:numPr>
        <w:spacing w:before="62" w:after="62"/>
        <w:ind w:left="0" w:firstLine="0" w:firstLineChars="0"/>
      </w:pPr>
      <w:r>
        <w:t>自定义损失函数中的类似 Focal Loss 的调制项</w:t>
      </w:r>
      <w:r>
        <w:rPr>
          <w:rFonts w:hint="eastAsia"/>
        </w:rPr>
        <w:t>：</w:t>
      </w:r>
    </w:p>
    <w:p>
      <w:pPr>
        <w:pStyle w:val="3"/>
        <w:spacing w:before="62" w:after="62"/>
        <w:ind w:firstLine="480"/>
      </w:pPr>
      <w:r>
        <w:t>解决的具体问题</w:t>
      </w:r>
      <w:r>
        <w:rPr>
          <w:rFonts w:hint="eastAsia"/>
        </w:rPr>
        <w:t>：</w:t>
      </w:r>
      <w:r>
        <w:t>解决大量易分样本（通常是背景或多数类别）产生的巨大损失淹没少量难分样本（通常是少数类别或难以区分的个体）损失的问题。通过降低易分样本的损失贡献，使得模型训练更专注于那些难分和误分的样本，这些样本往往更能代表少数类别或边界情况。</w:t>
      </w:r>
    </w:p>
    <w:p>
      <w:pPr>
        <w:pStyle w:val="2"/>
        <w:spacing w:before="936" w:after="156"/>
      </w:pPr>
      <w:bookmarkStart w:id="15" w:name="_Toc18338"/>
      <w:r>
        <w:rPr>
          <w:rFonts w:hint="eastAsia"/>
        </w:rPr>
        <w:t>系统的设计与实现</w:t>
      </w:r>
      <w:bookmarkEnd w:id="15"/>
    </w:p>
    <w:p>
      <w:pPr>
        <w:pStyle w:val="4"/>
        <w:spacing w:before="468" w:after="93"/>
        <w:rPr>
          <w:color w:val="000000" w:themeColor="text1"/>
          <w14:textFill>
            <w14:solidFill>
              <w14:schemeClr w14:val="tx1"/>
            </w14:solidFill>
          </w14:textFill>
        </w:rPr>
      </w:pPr>
      <w:bookmarkStart w:id="16" w:name="_Toc27027"/>
      <w:r>
        <w:rPr>
          <w:rFonts w:hint="eastAsia"/>
          <w:color w:val="000000" w:themeColor="text1"/>
          <w14:textFill>
            <w14:solidFill>
              <w14:schemeClr w14:val="tx1"/>
            </w14:solidFill>
          </w14:textFill>
        </w:rPr>
        <w:t>总体架构设计</w:t>
      </w:r>
      <w:bookmarkEnd w:id="16"/>
    </w:p>
    <w:p>
      <w:pPr>
        <w:pStyle w:val="5"/>
        <w:spacing w:before="312" w:after="62"/>
        <w:rPr>
          <w:color w:val="000000" w:themeColor="text1"/>
          <w14:textFill>
            <w14:solidFill>
              <w14:schemeClr w14:val="tx1"/>
            </w14:solidFill>
          </w14:textFill>
        </w:rPr>
      </w:pPr>
      <w:r>
        <w:rPr>
          <w:rFonts w:hint="eastAsia"/>
          <w:color w:val="000000" w:themeColor="text1"/>
          <w14:textFill>
            <w14:solidFill>
              <w14:schemeClr w14:val="tx1"/>
            </w14:solidFill>
          </w14:textFill>
        </w:rPr>
        <w:t>技术选型依据</w:t>
      </w:r>
    </w:p>
    <w:p>
      <w:pPr>
        <w:pStyle w:val="3"/>
        <w:spacing w:before="62" w:after="62"/>
        <w:ind w:firstLine="480"/>
      </w:pPr>
      <w:r>
        <w:t>YOLOv11作为Ultralytics推出的最新一代实时目标检测模型，其核心优势体现在精度、速度与效率的全面提升。首先，通过改进的主干和颈部架构（如C3k2、C2PSA机制）以及深度可分离卷积（DWConv）的应用，显著增强了特征提取能力，同时减少了计算量和参数量，在保持高精度的前提下实现了更快的推理速度。其次，模型支持多任务处理，涵盖目标检测、实例分割、姿态估计、旋转边界框检测及图像分类，并通过轻量化设计适应边缘设备部署，参数量减少且性能稳定。此外，YOLOv11引入混合精度训练、GPU优化等策略，进一步提升了训练效率和模型泛化性，适用于复杂场景下的多样化视觉任务需求。</w:t>
      </w:r>
    </w:p>
    <w:p>
      <w:pPr>
        <w:pStyle w:val="5"/>
        <w:spacing w:before="312" w:after="62"/>
        <w:rPr>
          <w:color w:val="000000" w:themeColor="text1"/>
          <w14:textFill>
            <w14:solidFill>
              <w14:schemeClr w14:val="tx1"/>
            </w14:solidFill>
          </w14:textFill>
        </w:rPr>
      </w:pPr>
      <w:r>
        <w:rPr>
          <w:rFonts w:hint="eastAsia"/>
          <w:color w:val="000000" w:themeColor="text1"/>
          <w14:textFill>
            <w14:solidFill>
              <w14:schemeClr w14:val="tx1"/>
            </w14:solidFill>
          </w14:textFill>
        </w:rPr>
        <w:t>架构图</w:t>
      </w:r>
    </w:p>
    <w:p>
      <w:pPr>
        <w:pStyle w:val="3"/>
        <w:keepNext/>
        <w:spacing w:before="62" w:after="62"/>
        <w:ind w:firstLine="0" w:firstLineChars="0"/>
      </w:pPr>
      <w:r>
        <w:rPr>
          <w:rFonts w:hint="eastAsia"/>
        </w:rPr>
        <w:drawing>
          <wp:inline distT="0" distB="0" distL="0" distR="0">
            <wp:extent cx="2520950" cy="2766695"/>
            <wp:effectExtent l="0" t="0" r="6350" b="1905"/>
            <wp:docPr id="707774463" name="图片 5" descr="C:\Users\19051\Desktop\2E4230829EF284DCE43E2604A8EC164B.png2E4230829EF284DCE43E2604A8EC1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74463" name="图片 5" descr="C:\Users\19051\Desktop\2E4230829EF284DCE43E2604A8EC164B.png2E4230829EF284DCE43E2604A8EC164B"/>
                    <pic:cNvPicPr>
                      <a:picLocks noChangeAspect="1" noChangeArrowheads="1"/>
                    </pic:cNvPicPr>
                  </pic:nvPicPr>
                  <pic:blipFill>
                    <a:blip r:embed="rId9"/>
                    <a:srcRect/>
                    <a:stretch>
                      <a:fillRect/>
                    </a:stretch>
                  </pic:blipFill>
                  <pic:spPr>
                    <a:xfrm>
                      <a:off x="0" y="0"/>
                      <a:ext cx="2520950" cy="2766695"/>
                    </a:xfrm>
                    <a:prstGeom prst="rect">
                      <a:avLst/>
                    </a:prstGeom>
                    <a:noFill/>
                    <a:ln>
                      <a:noFill/>
                    </a:ln>
                  </pic:spPr>
                </pic:pic>
              </a:graphicData>
            </a:graphic>
          </wp:inline>
        </w:drawing>
      </w:r>
    </w:p>
    <w:p>
      <w:pPr>
        <w:pStyle w:val="12"/>
        <w:spacing w:before="93" w:after="93"/>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w:t>
      </w:r>
      <w:r>
        <w:fldChar w:fldCharType="end"/>
      </w:r>
      <w:r>
        <w:rPr>
          <w:rFonts w:hint="eastAsia"/>
        </w:rPr>
        <w:t xml:space="preserve"> 架构图</w:t>
      </w:r>
    </w:p>
    <w:p>
      <w:pPr>
        <w:pStyle w:val="4"/>
        <w:spacing w:before="468" w:after="93"/>
      </w:pPr>
      <w:bookmarkStart w:id="17" w:name="_Toc807"/>
      <w:r>
        <w:rPr>
          <w:rFonts w:hint="eastAsia"/>
        </w:rPr>
        <w:t>模块划分设计</w:t>
      </w:r>
      <w:bookmarkEnd w:id="17"/>
    </w:p>
    <w:p>
      <w:pPr>
        <w:pStyle w:val="5"/>
        <w:spacing w:before="312" w:after="62"/>
      </w:pPr>
      <w:r>
        <w:rPr>
          <w:rFonts w:hint="eastAsia"/>
        </w:rPr>
        <w:t>图像采集模块</w:t>
      </w:r>
    </w:p>
    <w:p>
      <w:pPr>
        <w:pStyle w:val="3"/>
        <w:spacing w:before="62" w:after="62"/>
        <w:ind w:firstLine="480"/>
      </w:pPr>
      <w:r>
        <w:t>采用</w:t>
      </w:r>
      <w:r>
        <w:rPr>
          <w:b/>
          <w:bCs/>
        </w:rPr>
        <w:t>多源异构数据采集架构</w:t>
      </w:r>
      <w:r>
        <w:t>，通过静态图像加载、实时视频流采集与智能帧缓冲机制的协同设计，构建面向</w:t>
      </w:r>
      <w:r>
        <w:rPr>
          <w:rFonts w:hint="eastAsia"/>
        </w:rPr>
        <w:t>各类现实</w:t>
      </w:r>
      <w:r>
        <w:t>垃圾分类场景的动态数据供给体系。</w:t>
      </w:r>
    </w:p>
    <w:p>
      <w:pPr>
        <w:pStyle w:val="3"/>
        <w:spacing w:before="62" w:after="62"/>
        <w:ind w:firstLine="480"/>
      </w:pPr>
      <w:r>
        <w:rPr>
          <w:rFonts w:hint="eastAsia"/>
        </w:rPr>
        <w:t>静态图像加载：</w:t>
      </w:r>
      <w:r>
        <w:t>系统提供标准化文件对话框接口，支持用户从本地存储设备选择PNG/JPG格式的静态样本</w:t>
      </w:r>
    </w:p>
    <w:p>
      <w:pPr>
        <w:pStyle w:val="3"/>
        <w:spacing w:before="62" w:after="62"/>
        <w:ind w:firstLine="480"/>
      </w:pPr>
      <w:r>
        <w:t>界面集成双窗格布局：可实时显示选中图像的EXIF元数据（分辨率、拍摄时间等）。该功能主要用于离线测试与历史数据复用，特别针对奶茶杯残液痕迹、快递纸箱压痕等特殊样本的标注训练。</w:t>
      </w:r>
    </w:p>
    <w:p>
      <w:pPr>
        <w:pStyle w:val="3"/>
        <w:spacing w:before="62" w:after="62"/>
        <w:ind w:firstLine="480"/>
      </w:pPr>
      <w:r>
        <w:rPr>
          <w:rFonts w:hint="eastAsia"/>
        </w:rPr>
        <w:t>实时视频流采集：</w:t>
      </w:r>
      <w:r>
        <w:t>基于WebcamWorker类实现的多线程采集框架，采用生产者-消费者模型分离视频捕获与预处理流程。底层通过OpenCV的V4L2驱动接口直接访问USB摄像头硬件，以60FPS速率获取640×480分辨率的RGB帧数据。</w:t>
      </w:r>
    </w:p>
    <w:p>
      <w:pPr>
        <w:pStyle w:val="3"/>
        <w:spacing w:before="62" w:after="62"/>
        <w:ind w:firstLine="480"/>
      </w:pPr>
      <w:r>
        <w:rPr>
          <w:rFonts w:hint="eastAsia"/>
        </w:rPr>
        <w:t>智能帧缓冲机制：</w:t>
      </w:r>
      <w:r>
        <w:t>采用deque双端队列构建三级缓存池（最大容量3帧），通过滑动窗口策略实现视频流的时空对齐优化</w:t>
      </w:r>
      <w:r>
        <w:rPr>
          <w:rFonts w:hint="eastAsia"/>
        </w:rPr>
        <w:t>，提高稳定性。</w:t>
      </w:r>
    </w:p>
    <w:p>
      <w:pPr>
        <w:pStyle w:val="5"/>
        <w:spacing w:before="312" w:after="62"/>
      </w:pPr>
      <w:r>
        <w:rPr>
          <w:rFonts w:hint="eastAsia"/>
        </w:rPr>
        <w:t>模型推理模块</w:t>
      </w:r>
    </w:p>
    <w:p>
      <w:pPr>
        <w:pStyle w:val="3"/>
        <w:spacing w:before="62" w:after="62"/>
        <w:ind w:firstLine="480"/>
      </w:pPr>
      <w:r>
        <w:rPr>
          <w:rFonts w:hint="eastAsia"/>
        </w:rPr>
        <w:t>使用YOLOv11n作为基础检测模型，自定义预处理流程，通过“保持宽高比缩放+边缘填充”保证检测物检测录入尽可能完整。</w:t>
      </w:r>
    </w:p>
    <w:p>
      <w:pPr>
        <w:pStyle w:val="3"/>
        <w:spacing w:before="62" w:after="62"/>
        <w:ind w:firstLine="480"/>
        <w:rPr>
          <w:rFonts w:ascii="Segoe UI" w:hAnsi="Segoe UI" w:cs="Segoe UI"/>
          <w:color w:val="000000"/>
          <w:kern w:val="0"/>
          <w:sz w:val="27"/>
          <w:szCs w:val="27"/>
        </w:rPr>
      </w:pPr>
      <w:r>
        <w:rPr>
          <w:rFonts w:hint="eastAsia"/>
        </w:rPr>
        <w:t>使用多帧稳定性检测机制通过历史检测结果过滤抖动；使用GPU加速利用CUDA流处理提升性能。</w:t>
      </w:r>
    </w:p>
    <w:p>
      <w:pPr>
        <w:pStyle w:val="5"/>
        <w:spacing w:before="312" w:after="62"/>
      </w:pPr>
      <w:r>
        <w:rPr>
          <w:rFonts w:hint="eastAsia"/>
        </w:rPr>
        <w:t>结果处理模块</w:t>
      </w:r>
    </w:p>
    <w:p>
      <w:pPr>
        <w:pStyle w:val="3"/>
        <w:spacing w:before="62" w:after="62"/>
        <w:ind w:firstLine="480"/>
      </w:pPr>
      <w:r>
        <w:rPr>
          <w:rFonts w:hint="eastAsia"/>
        </w:rPr>
        <w:t>首先使用IOU计算改进边界框匹配算法；然后通过稳定性过滤多帧选择一致性判断检测物品种类；经过可视化渲染绘制检测框及标签信息。</w:t>
      </w:r>
    </w:p>
    <w:p>
      <w:pPr>
        <w:pStyle w:val="3"/>
        <w:spacing w:before="62" w:after="62"/>
        <w:ind w:firstLine="480"/>
      </w:pPr>
      <w:r>
        <w:rPr>
          <w:rFonts w:hint="eastAsia"/>
        </w:rPr>
        <w:t>最后自动/手动保存（可支持多种格式保存检测结果）。</w:t>
      </w:r>
    </w:p>
    <w:p>
      <w:pPr>
        <w:pStyle w:val="5"/>
        <w:spacing w:before="312" w:after="62"/>
      </w:pPr>
      <w:r>
        <w:rPr>
          <w:rFonts w:hint="eastAsia"/>
        </w:rPr>
        <w:t>数据管理模块</w:t>
      </w:r>
    </w:p>
    <w:p>
      <w:pPr>
        <w:pStyle w:val="3"/>
        <w:spacing w:before="62" w:after="62"/>
        <w:ind w:firstLine="480"/>
      </w:pPr>
      <w:r>
        <w:rPr>
          <w:rFonts w:hint="eastAsia"/>
        </w:rPr>
        <w:t>通过参数配置变动调节置信度阈值，更改检测物检测阈值，使“检测精度与置信度阈值”正相关变动；检测数量与置信度阈值”负相关变动。</w:t>
      </w:r>
    </w:p>
    <w:p>
      <w:pPr>
        <w:pStyle w:val="3"/>
        <w:spacing w:before="62" w:after="62"/>
        <w:ind w:firstLine="480"/>
      </w:pPr>
      <w:r>
        <w:rPr>
          <w:rFonts w:hint="eastAsia"/>
        </w:rPr>
        <w:t>设置持久化将主题、自动保存等设置保存；随后将结构化数据导出（JSON/TXT）生成报告（在垃圾分类知识库使用中英文映射表进行提示）。</w:t>
      </w:r>
    </w:p>
    <w:p>
      <w:pPr>
        <w:pStyle w:val="5"/>
        <w:spacing w:before="312" w:after="62"/>
      </w:pPr>
      <w:r>
        <w:rPr>
          <w:rFonts w:hint="eastAsia"/>
        </w:rPr>
        <w:t>训练优化模块</w:t>
      </w:r>
    </w:p>
    <w:p>
      <w:pPr>
        <w:pStyle w:val="3"/>
        <w:spacing w:before="62" w:after="62"/>
        <w:ind w:firstLine="480"/>
      </w:pPr>
      <w:r>
        <w:rPr>
          <w:rFonts w:hint="eastAsia"/>
        </w:rPr>
        <w:t>使用自定义损失函数引入类别权重平衡数据分布；应用多种Albumentations变换增强数据策略；使用MLflow进行实验跟踪；最后模型评估记录mAP等关键指标。</w:t>
      </w:r>
    </w:p>
    <w:p>
      <w:pPr>
        <w:pStyle w:val="5"/>
        <w:spacing w:before="312" w:after="62"/>
        <w:rPr>
          <w:color w:val="000000" w:themeColor="text1"/>
          <w14:textFill>
            <w14:solidFill>
              <w14:schemeClr w14:val="tx1"/>
            </w14:solidFill>
          </w14:textFill>
        </w:rPr>
      </w:pPr>
      <w:r>
        <w:rPr>
          <w:rFonts w:hint="eastAsia"/>
          <w:color w:val="000000" w:themeColor="text1"/>
          <w14:textFill>
            <w14:solidFill>
              <w14:schemeClr w14:val="tx1"/>
            </w14:solidFill>
          </w14:textFill>
        </w:rPr>
        <w:t>系统管理模块</w:t>
      </w:r>
    </w:p>
    <w:p>
      <w:pPr>
        <w:pStyle w:val="3"/>
        <w:spacing w:before="62" w:after="62"/>
        <w:ind w:firstLine="482"/>
      </w:pPr>
      <w:r>
        <w:rPr>
          <w:rFonts w:hint="eastAsia"/>
          <w:b/>
          <w:bCs/>
        </w:rPr>
        <w:t>建立</w:t>
      </w:r>
      <w:r>
        <w:t>启动/停止检测任务的入口、处理用户交互、管理工作线程的生命周期以及更新 UI 状态的逻辑。</w:t>
      </w:r>
    </w:p>
    <w:p>
      <w:pPr>
        <w:pStyle w:val="3"/>
        <w:spacing w:before="62" w:after="62"/>
        <w:ind w:firstLine="480"/>
      </w:pPr>
      <w:r>
        <w:t>将耗时的检测任务从主 UI 线程分离出来执行。它们负责具体任务（采集帧或加载图片、进行检测）的执行、管理自身线程的生命周期、资源（如摄像头）的获取和释放，并通过信号报告进度、结果和错误。</w:t>
      </w:r>
    </w:p>
    <w:p>
      <w:pPr>
        <w:pStyle w:val="3"/>
        <w:spacing w:before="62" w:after="62"/>
        <w:ind w:firstLine="480"/>
      </w:pPr>
      <w:r>
        <w:t>确保后台线程的处理状态能够正确反映到用户界面上，用户操作也能正确触发后台任务。</w:t>
      </w:r>
    </w:p>
    <w:p>
      <w:pPr>
        <w:pStyle w:val="3"/>
        <w:spacing w:before="62" w:after="62"/>
        <w:ind w:firstLine="480"/>
      </w:pPr>
      <w:r>
        <w:t>根据任务状态（是否正在检测），启用或禁用相关的操作按钮（如“开始检测”、“保存结果”等）。</w:t>
      </w:r>
    </w:p>
    <w:p>
      <w:pPr>
        <w:pStyle w:val="5"/>
        <w:spacing w:before="312" w:after="62"/>
        <w:rPr>
          <w:color w:val="000000" w:themeColor="text1"/>
          <w14:textFill>
            <w14:solidFill>
              <w14:schemeClr w14:val="tx1"/>
            </w14:solidFill>
          </w14:textFill>
        </w:rPr>
      </w:pPr>
      <w:r>
        <w:rPr>
          <w:rFonts w:hint="eastAsia"/>
          <w:color w:val="000000" w:themeColor="text1"/>
          <w14:textFill>
            <w14:solidFill>
              <w14:schemeClr w14:val="tx1"/>
            </w14:solidFill>
          </w14:textFill>
        </w:rPr>
        <w:t>模块的类图/时序图</w:t>
      </w:r>
    </w:p>
    <w:p>
      <w:pPr>
        <w:pStyle w:val="3"/>
        <w:spacing w:before="62" w:after="62"/>
        <w:ind w:firstLine="0" w:firstLineChars="0"/>
      </w:pPr>
      <w:r>
        <w:rPr>
          <w:rFonts w:hint="eastAsia"/>
        </w:rPr>
        <w:drawing>
          <wp:inline distT="0" distB="0" distL="0" distR="0">
            <wp:extent cx="2501900" cy="1597660"/>
            <wp:effectExtent l="0" t="0" r="0" b="2540"/>
            <wp:docPr id="15609237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23734"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01900" cy="1597660"/>
                    </a:xfrm>
                    <a:prstGeom prst="rect">
                      <a:avLst/>
                    </a:prstGeom>
                    <a:noFill/>
                    <a:ln>
                      <a:noFill/>
                    </a:ln>
                  </pic:spPr>
                </pic:pic>
              </a:graphicData>
            </a:graphic>
          </wp:inline>
        </w:drawing>
      </w:r>
    </w:p>
    <w:p>
      <w:pPr>
        <w:pStyle w:val="12"/>
        <w:spacing w:before="93" w:after="93"/>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w:t>
      </w:r>
      <w:r>
        <w:fldChar w:fldCharType="end"/>
      </w:r>
      <w:r>
        <w:rPr>
          <w:rFonts w:hint="eastAsia"/>
        </w:rPr>
        <w:t xml:space="preserve"> 类图</w:t>
      </w:r>
    </w:p>
    <w:p>
      <w:pPr>
        <w:pStyle w:val="3"/>
        <w:spacing w:before="62" w:after="62"/>
        <w:ind w:firstLine="0" w:firstLineChars="0"/>
      </w:pPr>
      <w:r>
        <w:rPr>
          <w:rFonts w:hint="eastAsia"/>
        </w:rPr>
        <w:drawing>
          <wp:inline distT="0" distB="0" distL="0" distR="0">
            <wp:extent cx="2501900" cy="1946910"/>
            <wp:effectExtent l="0" t="0" r="0" b="0"/>
            <wp:docPr id="983172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72106"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501900" cy="1946910"/>
                    </a:xfrm>
                    <a:prstGeom prst="rect">
                      <a:avLst/>
                    </a:prstGeom>
                    <a:noFill/>
                    <a:ln>
                      <a:noFill/>
                    </a:ln>
                  </pic:spPr>
                </pic:pic>
              </a:graphicData>
            </a:graphic>
          </wp:inline>
        </w:drawing>
      </w:r>
    </w:p>
    <w:p>
      <w:pPr>
        <w:pStyle w:val="12"/>
        <w:spacing w:before="93" w:after="93"/>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w:t>
      </w:r>
      <w:r>
        <w:fldChar w:fldCharType="end"/>
      </w:r>
      <w:r>
        <w:rPr>
          <w:rFonts w:hint="eastAsia"/>
        </w:rPr>
        <w:t xml:space="preserve"> 主要时序图</w:t>
      </w:r>
    </w:p>
    <w:p>
      <w:pPr>
        <w:pStyle w:val="4"/>
        <w:spacing w:before="468" w:after="93"/>
        <w:rPr>
          <w:color w:val="000000" w:themeColor="text1"/>
          <w14:textFill>
            <w14:solidFill>
              <w14:schemeClr w14:val="tx1"/>
            </w14:solidFill>
          </w14:textFill>
        </w:rPr>
      </w:pPr>
      <w:bookmarkStart w:id="18" w:name="_Toc6502"/>
      <w:r>
        <w:rPr>
          <w:rFonts w:hint="eastAsia"/>
          <w:color w:val="000000" w:themeColor="text1"/>
          <w14:textFill>
            <w14:solidFill>
              <w14:schemeClr w14:val="tx1"/>
            </w14:solidFill>
          </w14:textFill>
        </w:rPr>
        <w:t>核心算法实现与训练优化</w:t>
      </w:r>
      <w:bookmarkEnd w:id="18"/>
    </w:p>
    <w:p>
      <w:pPr>
        <w:pStyle w:val="5"/>
        <w:spacing w:before="312" w:after="62"/>
        <w:rPr>
          <w:color w:val="000000" w:themeColor="text1"/>
          <w14:textFill>
            <w14:solidFill>
              <w14:schemeClr w14:val="tx1"/>
            </w14:solidFill>
          </w14:textFill>
        </w:rPr>
      </w:pPr>
      <w:r>
        <w:rPr>
          <w:rFonts w:hint="eastAsia"/>
          <w:color w:val="000000" w:themeColor="text1"/>
          <w14:textFill>
            <w14:solidFill>
              <w14:schemeClr w14:val="tx1"/>
            </w14:solidFill>
          </w14:textFill>
        </w:rPr>
        <w:t>YOLO系列算法</w:t>
      </w:r>
    </w:p>
    <w:p>
      <w:pPr>
        <w:pStyle w:val="3"/>
        <w:spacing w:before="62" w:after="62"/>
        <w:ind w:firstLine="480"/>
      </w:pPr>
      <w:r>
        <w:t>YOLO(You Only Look Once) 系列算法:</w:t>
      </w:r>
    </w:p>
    <w:p>
      <w:pPr>
        <w:pStyle w:val="3"/>
        <w:spacing w:before="62" w:after="62"/>
        <w:ind w:firstLine="480"/>
      </w:pPr>
      <w:r>
        <w:t>解决的具体问题:这是代码的核心，它是一种著名的目标检测算法。YOLO将目标检测任务视为一个回归问题，能够在单次网络前向传播中预测图像中的所有目标及其边界框和类别，实现端到端的高效检测。代码中使用的</w:t>
      </w:r>
      <w:r>
        <w:rPr>
          <w:rFonts w:ascii="Consolas" w:hAnsi="Consolas" w:eastAsia="Consolas" w:cs="Consolas"/>
          <w:sz w:val="18"/>
          <w:szCs w:val="18"/>
        </w:rPr>
        <w:t>ultralytics</w:t>
      </w:r>
      <w:r>
        <w:t>库支持最新的 YOLO 版本（如 YOLOv8, YOLOv11等），具体的版本取决于加载的</w:t>
      </w:r>
      <w:r>
        <w:rPr>
          <w:rFonts w:ascii="Consolas" w:hAnsi="Consolas" w:eastAsia="Consolas" w:cs="Consolas"/>
          <w:sz w:val="18"/>
          <w:szCs w:val="18"/>
        </w:rPr>
        <w:t>.pt</w:t>
      </w:r>
      <w:r>
        <w:t>模型文件。</w:t>
      </w:r>
    </w:p>
    <w:p>
      <w:pPr>
        <w:pStyle w:val="3"/>
        <w:spacing w:before="62" w:after="62"/>
        <w:ind w:firstLine="480"/>
        <w:jc w:val="left"/>
      </w:pPr>
      <w:r>
        <w:t>自定义损失函数 (CustomLossCalculator) / 加权损失 / 类似 Focal Loss 的调制:</w:t>
      </w:r>
    </w:p>
    <w:p>
      <w:pPr>
        <w:pStyle w:val="3"/>
        <w:spacing w:before="62" w:after="62"/>
        <w:ind w:firstLine="480"/>
        <w:jc w:val="left"/>
      </w:pPr>
      <w:r>
        <w:t>解决的具体问题:衡量模型预测结果与真实标签之间的差异，并指导模型优化。特别是，代码中的自定义损失计算器解决了类别不均衡的问题，通过为样本较少的类别分配更高的权重 (</w:t>
      </w:r>
      <w:r>
        <w:rPr>
          <w:rFonts w:ascii="Consolas" w:hAnsi="Consolas" w:eastAsia="Consolas" w:cs="Consolas"/>
          <w:sz w:val="18"/>
          <w:szCs w:val="18"/>
        </w:rPr>
        <w:t>alpha</w:t>
      </w:r>
      <w:r>
        <w:t>)，并对分类损失应用类似 Focal Loss 的调制 (</w:t>
      </w:r>
      <w:r>
        <w:rPr>
          <w:rFonts w:ascii="Consolas" w:hAnsi="Consolas" w:eastAsia="Consolas" w:cs="Consolas"/>
          <w:sz w:val="18"/>
          <w:szCs w:val="18"/>
        </w:rPr>
        <w:t>(1 - torch.exp(-losses[1])) ** self.gamma</w:t>
      </w:r>
      <w:r>
        <w:t>)，降低模型在易分样本上的损失贡献，使模型更关注难分样本和少数类别，从而提高整体检测性能，尤其是有助于提升少数类别的召回率和精度。</w:t>
      </w:r>
    </w:p>
    <w:p>
      <w:pPr>
        <w:pStyle w:val="3"/>
        <w:spacing w:before="62" w:after="62"/>
        <w:ind w:firstLine="480"/>
      </w:pPr>
      <w:r>
        <w:t>Adam 优化算法:</w:t>
      </w:r>
    </w:p>
    <w:p>
      <w:pPr>
        <w:pStyle w:val="3"/>
        <w:spacing w:before="62" w:after="62"/>
        <w:ind w:firstLine="480"/>
      </w:pPr>
      <w:r>
        <w:t>解决的具体问题:根据损失函数的梯度信息，迭代地更新模型的可学习参数（权重和偏置），以最小化损失函数，从而提高模型的性能。Adam 是一种自适应学习率优化器，结合了 Momentum 和 RMSprop 的优点，通常收敛速度快且性能稳定。</w:t>
      </w:r>
    </w:p>
    <w:p>
      <w:pPr>
        <w:pStyle w:val="3"/>
        <w:spacing w:before="62" w:after="62"/>
        <w:ind w:firstLine="480"/>
      </w:pPr>
      <w:r>
        <w:t>数据增强 (Data Augmentation) 算法:</w:t>
      </w:r>
    </w:p>
    <w:p>
      <w:pPr>
        <w:pStyle w:val="3"/>
        <w:spacing w:before="62" w:after="62"/>
        <w:ind w:firstLine="480"/>
      </w:pPr>
      <w:r>
        <w:t>解决的具体问题: 通过对原始训练图像进行各种随机变换（如旋转、翻转、缩放、平移、剪切、改变亮度/对比度、添加噪声、模拟雨/雾等），人工增加训练数据集的多样性和数量。这有助于提高模型的泛化能力和鲁棒性，使其能够更好地适应真实世界中目标可能出现的各种姿态、光照和环境条件。</w:t>
      </w:r>
    </w:p>
    <w:p>
      <w:pPr>
        <w:pStyle w:val="3"/>
        <w:keepNext/>
        <w:spacing w:before="62" w:after="62"/>
        <w:ind w:firstLine="0" w:firstLineChars="0"/>
      </w:pPr>
      <w:r>
        <w:rPr>
          <w:rFonts w:hint="eastAsia"/>
        </w:rPr>
        <w:drawing>
          <wp:inline distT="0" distB="0" distL="0" distR="0">
            <wp:extent cx="2501900" cy="1454785"/>
            <wp:effectExtent l="0" t="0" r="0" b="0"/>
            <wp:docPr id="13212202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20227"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501900" cy="1454785"/>
                    </a:xfrm>
                    <a:prstGeom prst="rect">
                      <a:avLst/>
                    </a:prstGeom>
                    <a:noFill/>
                    <a:ln>
                      <a:noFill/>
                    </a:ln>
                  </pic:spPr>
                </pic:pic>
              </a:graphicData>
            </a:graphic>
          </wp:inline>
        </w:drawing>
      </w:r>
    </w:p>
    <w:p>
      <w:pPr>
        <w:pStyle w:val="12"/>
        <w:spacing w:before="93" w:after="93"/>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6</w:t>
      </w:r>
      <w:r>
        <w:fldChar w:fldCharType="end"/>
      </w:r>
      <w:r>
        <w:rPr>
          <w:rFonts w:hint="eastAsia"/>
        </w:rPr>
        <w:t xml:space="preserve"> 基础训练模型代码</w:t>
      </w:r>
    </w:p>
    <w:p>
      <w:pPr>
        <w:pStyle w:val="3"/>
        <w:keepNext/>
        <w:spacing w:before="62" w:after="62"/>
        <w:ind w:firstLine="0" w:firstLineChars="0"/>
      </w:pPr>
      <w:r>
        <w:rPr>
          <w:rFonts w:ascii="宋体" w:hAnsi="宋体" w:cs="宋体"/>
          <w:szCs w:val="24"/>
        </w:rPr>
        <w:drawing>
          <wp:inline distT="0" distB="0" distL="114300" distR="114300">
            <wp:extent cx="2540635" cy="1517015"/>
            <wp:effectExtent l="0" t="0" r="1206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540635" cy="1517015"/>
                    </a:xfrm>
                    <a:prstGeom prst="rect">
                      <a:avLst/>
                    </a:prstGeom>
                    <a:noFill/>
                    <a:ln w="9525">
                      <a:noFill/>
                    </a:ln>
                  </pic:spPr>
                </pic:pic>
              </a:graphicData>
            </a:graphic>
          </wp:inline>
        </w:drawing>
      </w:r>
    </w:p>
    <w:p>
      <w:pPr>
        <w:pStyle w:val="12"/>
        <w:spacing w:before="93" w:after="93"/>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7</w:t>
      </w:r>
      <w:r>
        <w:fldChar w:fldCharType="end"/>
      </w:r>
      <w:r>
        <w:rPr>
          <w:rFonts w:hint="eastAsia"/>
        </w:rPr>
        <w:t xml:space="preserve"> 训练模型（训练结束后结算页面）</w:t>
      </w:r>
    </w:p>
    <w:p>
      <w:pPr>
        <w:pStyle w:val="5"/>
        <w:spacing w:before="312" w:after="62"/>
      </w:pPr>
      <w:r>
        <w:rPr>
          <w:rFonts w:hint="eastAsia"/>
        </w:rPr>
        <w:t>使用ultralytics库进行 YOLO 模型训练</w:t>
      </w:r>
    </w:p>
    <w:p>
      <w:pPr>
        <w:pStyle w:val="3"/>
        <w:spacing w:before="62" w:after="62"/>
        <w:ind w:firstLine="480"/>
        <w:jc w:val="left"/>
      </w:pPr>
      <w:r>
        <w:rPr>
          <w:rFonts w:hint="eastAsia"/>
        </w:rPr>
        <w:t>解决的具体问题:简化 YOLO 模型的加载、配置和训练流程。ultralytics 库提供了高级 API，抽象了底层 PyTorch 操作、数据加载、分布式训练、模型评估等复杂细节。</w:t>
      </w:r>
    </w:p>
    <w:p>
      <w:pPr>
        <w:pStyle w:val="3"/>
        <w:spacing w:before="62" w:after="62"/>
        <w:ind w:firstLine="480"/>
        <w:jc w:val="left"/>
      </w:pPr>
      <w:r>
        <w:rPr>
          <w:rFonts w:hint="eastAsia"/>
        </w:rPr>
        <w:t>通过from ultralytics import YOLO导入库。</w:t>
      </w:r>
    </w:p>
    <w:p>
      <w:pPr>
        <w:pStyle w:val="3"/>
        <w:spacing w:before="62" w:after="62"/>
        <w:ind w:firstLine="480"/>
        <w:jc w:val="left"/>
      </w:pPr>
      <w:r>
        <w:rPr>
          <w:rFonts w:hint="eastAsia"/>
        </w:rPr>
        <w:t>使用model = YOLO(...)加载预训练模型。</w:t>
      </w:r>
    </w:p>
    <w:p>
      <w:pPr>
        <w:pStyle w:val="3"/>
        <w:spacing w:before="62" w:after="62"/>
        <w:ind w:firstLine="480"/>
        <w:jc w:val="left"/>
      </w:pPr>
      <w:r>
        <w:rPr>
          <w:rFonts w:hint="eastAsia"/>
        </w:rPr>
        <w:t>直接用model.train(...)方法启动训练，并通过参数配置训练过程（数据集路径、epochs、batch size、优化器、设备等）。</w:t>
      </w:r>
    </w:p>
    <w:p>
      <w:pPr>
        <w:pStyle w:val="3"/>
        <w:spacing w:before="62" w:after="62"/>
        <w:ind w:firstLine="480"/>
        <w:jc w:val="left"/>
      </w:pPr>
      <w:r>
        <w:rPr>
          <w:rFonts w:hint="eastAsia"/>
        </w:rPr>
        <w:t>利用库内置的训练回调（如</w:t>
      </w:r>
      <w:bookmarkStart w:id="29" w:name="_GoBack"/>
      <w:bookmarkEnd w:id="29"/>
      <w:r>
        <w:rPr>
          <w:rFonts w:hint="eastAsia"/>
        </w:rPr>
        <w:t>after_train）或直接访问model.trainer 来获取训练过程中的指标和模型状态。</w:t>
      </w:r>
    </w:p>
    <w:p>
      <w:pPr>
        <w:pStyle w:val="5"/>
        <w:spacing w:before="312" w:after="62"/>
      </w:pPr>
      <w:r>
        <w:rPr>
          <w:rFonts w:hint="eastAsia"/>
        </w:rPr>
        <w:t>基于 PyTorch 的 GPU加速 (torch.cuda)</w:t>
      </w:r>
    </w:p>
    <w:p>
      <w:pPr>
        <w:pStyle w:val="3"/>
        <w:spacing w:before="62" w:after="62"/>
        <w:ind w:firstLine="480"/>
        <w:jc w:val="left"/>
      </w:pPr>
      <w:r>
        <w:rPr>
          <w:rFonts w:hint="eastAsia"/>
        </w:rPr>
        <w:t>解决的具体问题:利用 GPU 的并行计算能力加速模型的推理和训练过程，显著减少计算时间，尤其对于大型模型和数据集。</w:t>
      </w:r>
    </w:p>
    <w:p>
      <w:pPr>
        <w:pStyle w:val="3"/>
        <w:spacing w:before="62" w:after="62"/>
        <w:ind w:firstLine="480"/>
        <w:jc w:val="left"/>
      </w:pPr>
      <w:r>
        <w:rPr>
          <w:rFonts w:hint="eastAsia"/>
        </w:rPr>
        <w:t>使用device = torch.device('cuda' if torch.cuda.is_available() else 'cpu') 检测并选择可用的 GPU或回退到 CPU。</w:t>
      </w:r>
    </w:p>
    <w:p>
      <w:pPr>
        <w:pStyle w:val="3"/>
        <w:spacing w:before="62" w:after="62"/>
        <w:ind w:firstLine="480"/>
        <w:jc w:val="left"/>
      </w:pPr>
      <w:r>
        <w:rPr>
          <w:rFonts w:hint="eastAsia"/>
        </w:rPr>
        <w:t>通过.to(device)方法将模型和数据（尽管在训练 API 内部处理较多，但原理是将张量移动到指定设备）传输到 GPU 上。</w:t>
      </w:r>
    </w:p>
    <w:p>
      <w:pPr>
        <w:pStyle w:val="3"/>
        <w:spacing w:before="62" w:after="62"/>
        <w:ind w:firstLine="480"/>
        <w:jc w:val="left"/>
      </w:pPr>
      <w:r>
        <w:rPr>
          <w:rFonts w:hint="eastAsia"/>
        </w:rPr>
        <w:t>代码中明确打印出正在使用的设备(print(f"Using device: {device}"))。</w:t>
      </w:r>
    </w:p>
    <w:p>
      <w:pPr>
        <w:pStyle w:val="5"/>
        <w:spacing w:before="312" w:after="62"/>
      </w:pPr>
      <w:r>
        <w:rPr>
          <w:rFonts w:hint="eastAsia"/>
        </w:rPr>
        <w:t>MLflow 实验跟踪和管理</w:t>
      </w:r>
    </w:p>
    <w:p>
      <w:pPr>
        <w:pStyle w:val="3"/>
        <w:spacing w:before="62" w:after="62"/>
        <w:ind w:firstLine="480"/>
        <w:jc w:val="left"/>
      </w:pPr>
      <w:r>
        <w:rPr>
          <w:rFonts w:hint="eastAsia"/>
        </w:rPr>
        <w:t>解决的具体问题: 系统地记录、组织和比较不同训练运行的参数、指标、代码版本和生成的文件（如模型权重、训练结果）。方便实验回溯、复现和性能。</w:t>
      </w:r>
    </w:p>
    <w:p>
      <w:pPr>
        <w:pStyle w:val="3"/>
        <w:spacing w:before="62" w:after="62"/>
        <w:ind w:firstLine="480"/>
        <w:jc w:val="left"/>
      </w:pPr>
      <w:r>
        <w:rPr>
          <w:rFonts w:hint="eastAsia"/>
        </w:rPr>
        <w:t>设置跟踪服务器 URI。</w:t>
      </w:r>
    </w:p>
    <w:p>
      <w:pPr>
        <w:pStyle w:val="3"/>
        <w:spacing w:before="62" w:after="62"/>
        <w:ind w:firstLine="480"/>
        <w:jc w:val="left"/>
      </w:pPr>
      <w:r>
        <w:rPr>
          <w:rFonts w:hint="eastAsia"/>
        </w:rPr>
        <w:t>创建或设置实验 。</w:t>
      </w:r>
    </w:p>
    <w:p>
      <w:pPr>
        <w:pStyle w:val="3"/>
        <w:spacing w:before="62" w:after="62"/>
        <w:ind w:firstLine="480"/>
        <w:jc w:val="left"/>
      </w:pPr>
      <w:r>
        <w:rPr>
          <w:rFonts w:hint="eastAsia"/>
        </w:rPr>
        <w:t>创建一个运行上下文，在该上下文中记录信息。</w:t>
      </w:r>
    </w:p>
    <w:p>
      <w:pPr>
        <w:pStyle w:val="3"/>
        <w:spacing w:before="62" w:after="62"/>
        <w:ind w:firstLine="480"/>
        <w:jc w:val="left"/>
      </w:pPr>
      <w:r>
        <w:rPr>
          <w:rFonts w:hint="eastAsia"/>
        </w:rPr>
        <w:t>使用mlflow.log_params(params)记录训练参数。</w:t>
      </w:r>
    </w:p>
    <w:p>
      <w:pPr>
        <w:pStyle w:val="3"/>
        <w:spacing w:before="62" w:after="62"/>
        <w:ind w:firstLine="480"/>
        <w:jc w:val="left"/>
      </w:pPr>
      <w:r>
        <w:rPr>
          <w:rFonts w:hint="eastAsia"/>
        </w:rPr>
        <w:t>使用mlflow.log_artifact(local_path, artifact_path)保存重要文件（如最佳模型、最终结果文件）。</w:t>
      </w:r>
    </w:p>
    <w:p>
      <w:pPr>
        <w:pStyle w:val="3"/>
        <w:spacing w:before="62" w:after="62"/>
        <w:ind w:firstLine="480"/>
        <w:jc w:val="left"/>
      </w:pPr>
      <w:r>
        <w:rPr>
          <w:rFonts w:hint="eastAsia"/>
        </w:rPr>
        <w:t>利用after_train回调在训练结束后统一记录最终指标和文件。</w:t>
      </w:r>
    </w:p>
    <w:p>
      <w:pPr>
        <w:pStyle w:val="5"/>
        <w:spacing w:before="312" w:after="62"/>
      </w:pPr>
      <w:r>
        <w:rPr>
          <w:rFonts w:hint="eastAsia"/>
        </w:rPr>
        <w:t>自定义损失函数 (CustomLossCalculator) 和类别权重</w:t>
      </w:r>
    </w:p>
    <w:p>
      <w:pPr>
        <w:pStyle w:val="3"/>
        <w:spacing w:before="62" w:after="62"/>
        <w:ind w:firstLine="480"/>
        <w:jc w:val="left"/>
      </w:pPr>
      <w:r>
        <w:rPr>
          <w:rFonts w:hint="eastAsia"/>
        </w:rPr>
        <w:t>解决的具体问题:针对特定数据集（如类别不均衡）调整损失函数的计算方式，以改善模型对某些类别（特别是样本较少的类别）的检测性能。这里具体应用了类别不均衡权重 (alpha) 和 Focal Loss的思想 (gamma)。</w:t>
      </w:r>
    </w:p>
    <w:p>
      <w:pPr>
        <w:pStyle w:val="3"/>
        <w:spacing w:before="62" w:after="62"/>
        <w:ind w:firstLine="480"/>
        <w:jc w:val="left"/>
      </w:pPr>
      <w:r>
        <w:rPr>
          <w:rFonts w:hint="eastAsia"/>
        </w:rPr>
        <w:t>定义了一个CustomLossCalculator类，初始化时接收模型对象。</w:t>
      </w:r>
    </w:p>
    <w:p>
      <w:pPr>
        <w:pStyle w:val="3"/>
        <w:spacing w:before="62" w:after="62"/>
        <w:ind w:firstLine="480"/>
        <w:jc w:val="left"/>
      </w:pPr>
      <w:r>
        <w:rPr>
          <w:rFonts w:hint="eastAsia"/>
        </w:rPr>
        <w:t>在__call__方法中，首先调用模型的原始损失计算方法 (self.model.compute_loss(preds, targets)) 获取基础损失分量（box, cls, dfl）。</w:t>
      </w:r>
    </w:p>
    <w:p>
      <w:pPr>
        <w:pStyle w:val="3"/>
        <w:spacing w:before="62" w:after="62"/>
        <w:ind w:firstLine="480"/>
        <w:jc w:val="left"/>
      </w:pPr>
      <w:r>
        <w:rPr>
          <w:rFonts w:hint="eastAsia"/>
        </w:rPr>
        <w:t>手动计算并应用反比例的类别权重 (alpha) 到分类损失上，并通过 (1 - torch.exp(-losses[1])) ** self.gamma应用类似 Focal Loss 的调制系数，降低易分样本的权重。</w:t>
      </w:r>
    </w:p>
    <w:p>
      <w:pPr>
        <w:pStyle w:val="3"/>
        <w:spacing w:before="62" w:after="62"/>
        <w:ind w:firstLine="480"/>
        <w:jc w:val="left"/>
      </w:pPr>
      <w:r>
        <w:rPr>
          <w:rFonts w:hint="eastAsia"/>
        </w:rPr>
        <w:t>根据自定义的权重 (box_weight,cls_weight,dfl_weight) 加权组合三个损失分量，得到最终的总损失。</w:t>
      </w:r>
    </w:p>
    <w:p>
      <w:pPr>
        <w:pStyle w:val="3"/>
        <w:spacing w:before="62" w:after="62"/>
        <w:ind w:firstLine="480"/>
        <w:jc w:val="left"/>
      </w:pPr>
      <w:r>
        <w:rPr>
          <w:rFonts w:hint="eastAsia"/>
        </w:rPr>
        <w:t>将模型对象的loss属性替换为这个自定义损失计算器的实例 (model.loss = CustomLossCalculator(model))。</w:t>
      </w:r>
    </w:p>
    <w:p>
      <w:pPr>
        <w:pStyle w:val="5"/>
        <w:spacing w:before="312" w:after="62"/>
      </w:pPr>
      <w:r>
        <w:rPr>
          <w:rFonts w:hint="eastAsia"/>
        </w:rPr>
        <w:t>Albumentations库进行高级数据增强</w:t>
      </w:r>
    </w:p>
    <w:p>
      <w:pPr>
        <w:pStyle w:val="3"/>
        <w:spacing w:before="62" w:after="62"/>
        <w:ind w:firstLine="480"/>
        <w:jc w:val="left"/>
      </w:pPr>
      <w:r>
        <w:rPr>
          <w:rFonts w:hint="eastAsia"/>
        </w:rPr>
        <w:t>解决的具体问题:通过应用多种图像变换（如旋转、翻转、调整亮度对比度、模糊、噪声、雨雾模拟、剪切、透视、Cutout/CoarseDropout 等）来增加训练数据的多样性，提高模型的泛化能力和鲁棒性，使其更能适应不同环境条件下的图像。</w:t>
      </w:r>
    </w:p>
    <w:p>
      <w:pPr>
        <w:pStyle w:val="3"/>
        <w:spacing w:before="62" w:after="62"/>
        <w:ind w:firstLine="480"/>
        <w:jc w:val="left"/>
      </w:pPr>
      <w:r>
        <w:rPr>
          <w:rFonts w:hint="eastAsia"/>
        </w:rPr>
        <w:t>通过import albumentations as A导入库。</w:t>
      </w:r>
    </w:p>
    <w:p>
      <w:pPr>
        <w:pStyle w:val="3"/>
        <w:suppressAutoHyphens/>
        <w:spacing w:before="62" w:after="62"/>
        <w:ind w:firstLine="420" w:firstLineChars="0"/>
        <w:jc w:val="left"/>
      </w:pPr>
      <w:r>
        <w:rPr>
          <w:rFonts w:hint="eastAsia"/>
        </w:rPr>
        <w:t>定义create_custom_augmentations()函数，使用A.Compose组合多种增强变换，并设置概率p控制每种变换应用率。配置A.BboxParams(format='yolo', label_fields=['class_labels'])确保边界框坐标在增强时能正确地与图像同步变换，且使用 YOLO 格式。</w:t>
      </w:r>
    </w:p>
    <w:p>
      <w:pPr>
        <w:pStyle w:val="3"/>
        <w:spacing w:before="62" w:after="62"/>
        <w:ind w:firstLine="0" w:firstLineChars="0"/>
      </w:pPr>
    </w:p>
    <w:p>
      <w:pPr>
        <w:pStyle w:val="5"/>
        <w:spacing w:before="312" w:after="62"/>
      </w:pPr>
      <w:r>
        <w:rPr>
          <w:rFonts w:hint="eastAsia"/>
        </w:rPr>
        <w:t>Adam 优化器</w:t>
      </w:r>
    </w:p>
    <w:p>
      <w:pPr>
        <w:pStyle w:val="3"/>
        <w:spacing w:before="62" w:after="62"/>
        <w:ind w:firstLine="480"/>
        <w:jc w:val="left"/>
      </w:pPr>
      <w:r>
        <w:rPr>
          <w:rFonts w:hint="eastAsia"/>
        </w:rPr>
        <w:t>解决的具体问题:使用一种自适应学习率的优化算法来更新模型权重，Adam结合了 Momentum 和 RMSprop 的优点，通常收敛速度较快且对学习率不那么敏感。</w:t>
      </w:r>
    </w:p>
    <w:p>
      <w:pPr>
        <w:pStyle w:val="3"/>
        <w:spacing w:before="62" w:after="62"/>
        <w:ind w:firstLine="480"/>
        <w:jc w:val="left"/>
      </w:pPr>
      <w:r>
        <w:rPr>
          <w:rFonts w:hint="eastAsia"/>
        </w:rPr>
        <w:t>在model.train方法中设置 optimizer="Adam"。</w:t>
      </w:r>
    </w:p>
    <w:p>
      <w:pPr>
        <w:pStyle w:val="3"/>
        <w:spacing w:before="62" w:after="62"/>
        <w:ind w:firstLine="480"/>
        <w:jc w:val="left"/>
      </w:pPr>
      <w:r>
        <w:rPr>
          <w:rFonts w:hint="eastAsia"/>
        </w:rPr>
        <w:t>同时配置 Adam 优化器的相关参数，如初始学习率 (lr0)、最终学习率比率 (lrf)、权重衰减 (weight_decay) 以及 Adam 特有的动量参数beta1和beta2(这些参数在 Ultralytics 的训练函数内部被解析和应用)。</w:t>
      </w:r>
    </w:p>
    <w:p>
      <w:pPr>
        <w:pStyle w:val="5"/>
        <w:spacing w:before="312" w:after="62"/>
      </w:pPr>
      <w:r>
        <w:rPr>
          <w:rFonts w:hint="eastAsia"/>
        </w:rPr>
        <w:t>性能优化</w:t>
      </w:r>
    </w:p>
    <w:p>
      <w:pPr>
        <w:pStyle w:val="3"/>
        <w:keepNext/>
        <w:spacing w:before="62" w:after="62"/>
        <w:ind w:firstLine="0" w:firstLineChars="0"/>
      </w:pPr>
      <w:r>
        <w:rPr>
          <w:rFonts w:ascii="宋体" w:hAnsi="宋体" w:cs="宋体"/>
          <w:szCs w:val="24"/>
        </w:rPr>
        <w:drawing>
          <wp:inline distT="0" distB="0" distL="114300" distR="114300">
            <wp:extent cx="2450465" cy="1463040"/>
            <wp:effectExtent l="0" t="0" r="635" b="1016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4"/>
                    <a:stretch>
                      <a:fillRect/>
                    </a:stretch>
                  </pic:blipFill>
                  <pic:spPr>
                    <a:xfrm>
                      <a:off x="0" y="0"/>
                      <a:ext cx="2450465" cy="1463040"/>
                    </a:xfrm>
                    <a:prstGeom prst="rect">
                      <a:avLst/>
                    </a:prstGeom>
                    <a:noFill/>
                    <a:ln w="9525">
                      <a:noFill/>
                    </a:ln>
                  </pic:spPr>
                </pic:pic>
              </a:graphicData>
            </a:graphic>
          </wp:inline>
        </w:drawing>
      </w:r>
    </w:p>
    <w:p>
      <w:pPr>
        <w:pStyle w:val="12"/>
        <w:spacing w:before="93" w:after="93"/>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8</w:t>
      </w:r>
      <w:r>
        <w:fldChar w:fldCharType="end"/>
      </w:r>
      <w:r>
        <w:rPr>
          <w:rFonts w:hint="eastAsia"/>
        </w:rPr>
        <w:t xml:space="preserve"> 第一次训练模型结果</w:t>
      </w:r>
    </w:p>
    <w:p>
      <w:pPr>
        <w:pStyle w:val="3"/>
        <w:keepNext/>
        <w:spacing w:before="62" w:after="62"/>
        <w:ind w:firstLine="0" w:firstLineChars="0"/>
        <w:jc w:val="center"/>
      </w:pPr>
      <w:r>
        <w:rPr>
          <w:rFonts w:ascii="宋体" w:hAnsi="宋体" w:cs="宋体"/>
          <w:szCs w:val="24"/>
        </w:rPr>
        <w:drawing>
          <wp:inline distT="0" distB="0" distL="114300" distR="114300">
            <wp:extent cx="2202180" cy="1536700"/>
            <wp:effectExtent l="0" t="0" r="7620"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3"/>
                    <a:stretch>
                      <a:fillRect/>
                    </a:stretch>
                  </pic:blipFill>
                  <pic:spPr>
                    <a:xfrm>
                      <a:off x="0" y="0"/>
                      <a:ext cx="2202180" cy="1536700"/>
                    </a:xfrm>
                    <a:prstGeom prst="rect">
                      <a:avLst/>
                    </a:prstGeom>
                    <a:noFill/>
                    <a:ln w="9525">
                      <a:noFill/>
                    </a:ln>
                  </pic:spPr>
                </pic:pic>
              </a:graphicData>
            </a:graphic>
          </wp:inline>
        </w:drawing>
      </w:r>
    </w:p>
    <w:p>
      <w:pPr>
        <w:pStyle w:val="12"/>
        <w:spacing w:before="93" w:after="93"/>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9</w:t>
      </w:r>
      <w:r>
        <w:fldChar w:fldCharType="end"/>
      </w:r>
      <w:r>
        <w:rPr>
          <w:rFonts w:hint="eastAsia"/>
        </w:rPr>
        <w:t xml:space="preserve"> 第二次模型训练结果</w:t>
      </w:r>
    </w:p>
    <w:p>
      <w:pPr>
        <w:pStyle w:val="3"/>
        <w:spacing w:before="62" w:after="62"/>
        <w:ind w:firstLine="480"/>
        <w:jc w:val="left"/>
      </w:pPr>
      <w:r>
        <w:rPr>
          <w:rFonts w:hint="eastAsia"/>
        </w:rPr>
        <w:t>从核心的 Precision、Recall 和 mAP@0.5 指标来看，第二次训练（使用了优化技术）的模型在整体检测性能上优于第一次训练的模型。尤其是在查全率方面有显著改进，这对于垃圾识别应用来说是很重要的，意味着能漏检更少的垃圾。尽管 mAP@0.5:0.95 指标有所下降，但考虑到主要的识别任务对 mAP50 更敏感，并且训练 Epoch 数减少了，这次优化仍然可以认为是成功的，因为它在提高主要性能指标的同时减少了训练所需的 Epoch 数。</w:t>
      </w:r>
    </w:p>
    <w:p>
      <w:pPr>
        <w:pStyle w:val="3"/>
        <w:spacing w:before="62" w:after="62"/>
        <w:ind w:firstLine="480"/>
      </w:pPr>
    </w:p>
    <w:p>
      <w:pPr>
        <w:pStyle w:val="4"/>
        <w:spacing w:before="468" w:after="93"/>
        <w:rPr>
          <w:color w:val="000000" w:themeColor="text1"/>
          <w14:textFill>
            <w14:solidFill>
              <w14:schemeClr w14:val="tx1"/>
            </w14:solidFill>
          </w14:textFill>
        </w:rPr>
      </w:pPr>
      <w:bookmarkStart w:id="19" w:name="_Toc18980"/>
      <w:r>
        <w:rPr>
          <w:rFonts w:hint="eastAsia"/>
          <w:color w:val="000000" w:themeColor="text1"/>
          <w14:textFill>
            <w14:solidFill>
              <w14:schemeClr w14:val="tx1"/>
            </w14:solidFill>
          </w14:textFill>
        </w:rPr>
        <w:t>模块划分与实现</w:t>
      </w:r>
      <w:bookmarkEnd w:id="19"/>
    </w:p>
    <w:p>
      <w:pPr>
        <w:pStyle w:val="5"/>
        <w:spacing w:before="312" w:after="62"/>
        <w:rPr>
          <w:color w:val="000000" w:themeColor="text1"/>
          <w14:textFill>
            <w14:solidFill>
              <w14:schemeClr w14:val="tx1"/>
            </w14:solidFill>
          </w14:textFill>
        </w:rPr>
      </w:pPr>
      <w:r>
        <w:rPr>
          <w:rFonts w:hint="eastAsia"/>
          <w:color w:val="000000" w:themeColor="text1"/>
          <w14:textFill>
            <w14:solidFill>
              <w14:schemeClr w14:val="tx1"/>
            </w14:solidFill>
          </w14:textFill>
        </w:rPr>
        <w:t>图像采集模块</w:t>
      </w:r>
    </w:p>
    <w:p>
      <w:pPr>
        <w:pStyle w:val="3"/>
        <w:spacing w:before="62" w:after="6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静态图像加载：</w:t>
      </w:r>
      <w:r>
        <w:rPr>
          <w:color w:val="000000" w:themeColor="text1"/>
          <w14:textFill>
            <w14:solidFill>
              <w14:schemeClr w14:val="tx1"/>
            </w14:solidFill>
          </w14:textFill>
        </w:rPr>
        <w:t>系统提供标准化文件对话框接口，支持用户从本地存储设备选择PNG/JPG格式的静态样本（如图3所示）。</w:t>
      </w:r>
    </w:p>
    <w:p>
      <w:pPr>
        <w:pStyle w:val="3"/>
        <w:keepNext/>
        <w:spacing w:before="62" w:after="62"/>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0" distR="0">
            <wp:extent cx="2501900" cy="887730"/>
            <wp:effectExtent l="0" t="0" r="0" b="7620"/>
            <wp:docPr id="1320904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0404"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501900" cy="887730"/>
                    </a:xfrm>
                    <a:prstGeom prst="rect">
                      <a:avLst/>
                    </a:prstGeom>
                    <a:noFill/>
                    <a:ln>
                      <a:noFill/>
                    </a:ln>
                  </pic:spPr>
                </pic:pic>
              </a:graphicData>
            </a:graphic>
          </wp:inline>
        </w:drawing>
      </w:r>
    </w:p>
    <w:p>
      <w:pPr>
        <w:pStyle w:val="12"/>
        <w:spacing w:before="93" w:after="93"/>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10</w:t>
      </w:r>
      <w:r>
        <w:fldChar w:fldCharType="end"/>
      </w:r>
      <w:r>
        <w:rPr>
          <w:rFonts w:hint="eastAsia"/>
        </w:rPr>
        <w:t xml:space="preserve"> 静态图像采集</w:t>
      </w:r>
    </w:p>
    <w:p>
      <w:pPr>
        <w:pStyle w:val="3"/>
        <w:spacing w:before="62" w:after="62"/>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实时视频流采集：</w:t>
      </w:r>
      <w:r>
        <w:rPr>
          <w:color w:val="000000" w:themeColor="text1"/>
          <w14:textFill>
            <w14:solidFill>
              <w14:schemeClr w14:val="tx1"/>
            </w14:solidFill>
          </w14:textFill>
        </w:rPr>
        <w:t>基于WebcamWorker类实现的多线程采集框架（图4界面显示双画面同步输出），采用生产者-消费者模型分离视频捕获与预处理流程。底层通过OpenCV的V4L2驱动接口直接访问USB摄像头硬件，以60FPS速率获取640×480分辨率的RGB帧数据。</w:t>
      </w:r>
    </w:p>
    <w:p>
      <w:pPr>
        <w:pStyle w:val="3"/>
        <w:keepNext/>
        <w:spacing w:before="62" w:after="62"/>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0" distR="0">
            <wp:extent cx="2501900" cy="1292860"/>
            <wp:effectExtent l="0" t="0" r="0" b="2540"/>
            <wp:docPr id="2547203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20377"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501900" cy="1292860"/>
                    </a:xfrm>
                    <a:prstGeom prst="rect">
                      <a:avLst/>
                    </a:prstGeom>
                    <a:noFill/>
                    <a:ln>
                      <a:noFill/>
                    </a:ln>
                  </pic:spPr>
                </pic:pic>
              </a:graphicData>
            </a:graphic>
          </wp:inline>
        </w:drawing>
      </w:r>
    </w:p>
    <w:p>
      <w:pPr>
        <w:pStyle w:val="12"/>
        <w:spacing w:before="93" w:after="9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实时视频流采集</w:t>
      </w:r>
    </w:p>
    <w:p>
      <w:pPr>
        <w:pStyle w:val="5"/>
        <w:spacing w:before="312" w:after="62"/>
        <w:rPr>
          <w:color w:val="000000" w:themeColor="text1"/>
          <w14:textFill>
            <w14:solidFill>
              <w14:schemeClr w14:val="tx1"/>
            </w14:solidFill>
          </w14:textFill>
        </w:rPr>
      </w:pPr>
      <w:r>
        <w:rPr>
          <w:rFonts w:hint="eastAsia"/>
          <w:color w:val="000000" w:themeColor="text1"/>
          <w14:textFill>
            <w14:solidFill>
              <w14:schemeClr w14:val="tx1"/>
            </w14:solidFill>
          </w14:textFill>
        </w:rPr>
        <w:t>模型推理模块</w:t>
      </w:r>
    </w:p>
    <w:p>
      <w:pPr>
        <w:pStyle w:val="3"/>
        <w:spacing w:before="62" w:after="6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使用YOLOv11n作为基础检测模型，自定义预处理流程，通过“保持宽高比缩放+边缘填充”保证检测物检测录入尽可能完整（可参考图5）。</w:t>
      </w:r>
    </w:p>
    <w:p>
      <w:pPr>
        <w:pStyle w:val="3"/>
        <w:keepNext/>
        <w:spacing w:before="62" w:after="62"/>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501900" cy="807720"/>
            <wp:effectExtent l="0" t="0" r="0" b="0"/>
            <wp:docPr id="565354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54085" name="图片 1"/>
                    <pic:cNvPicPr>
                      <a:picLocks noChangeAspect="1"/>
                    </pic:cNvPicPr>
                  </pic:nvPicPr>
                  <pic:blipFill>
                    <a:blip r:embed="rId17"/>
                    <a:stretch>
                      <a:fillRect/>
                    </a:stretch>
                  </pic:blipFill>
                  <pic:spPr>
                    <a:xfrm>
                      <a:off x="0" y="0"/>
                      <a:ext cx="2501900" cy="807720"/>
                    </a:xfrm>
                    <a:prstGeom prst="rect">
                      <a:avLst/>
                    </a:prstGeom>
                  </pic:spPr>
                </pic:pic>
              </a:graphicData>
            </a:graphic>
          </wp:inline>
        </w:drawing>
      </w:r>
    </w:p>
    <w:p>
      <w:pPr>
        <w:pStyle w:val="12"/>
        <w:spacing w:before="93" w:after="9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检测</w:t>
      </w:r>
      <w:r>
        <w:rPr>
          <w:rFonts w:hint="eastAsia"/>
        </w:rPr>
        <w:t>物</w:t>
      </w:r>
      <w:r>
        <w:rPr>
          <w:rFonts w:hint="eastAsia"/>
          <w:color w:val="000000" w:themeColor="text1"/>
          <w14:textFill>
            <w14:solidFill>
              <w14:schemeClr w14:val="tx1"/>
            </w14:solidFill>
          </w14:textFill>
        </w:rPr>
        <w:t>检测</w:t>
      </w:r>
    </w:p>
    <w:p>
      <w:pPr>
        <w:pStyle w:val="3"/>
        <w:spacing w:before="62" w:after="62"/>
        <w:ind w:firstLine="480"/>
        <w:rPr>
          <w:rFonts w:ascii="Segoe UI" w:hAnsi="Segoe UI" w:cs="Segoe UI"/>
          <w:color w:val="000000" w:themeColor="text1"/>
          <w:kern w:val="0"/>
          <w:sz w:val="27"/>
          <w:szCs w:val="27"/>
          <w14:textFill>
            <w14:solidFill>
              <w14:schemeClr w14:val="tx1"/>
            </w14:solidFill>
          </w14:textFill>
        </w:rPr>
      </w:pPr>
      <w:r>
        <w:rPr>
          <w:rFonts w:hint="eastAsia"/>
          <w:color w:val="000000" w:themeColor="text1"/>
          <w14:textFill>
            <w14:solidFill>
              <w14:schemeClr w14:val="tx1"/>
            </w14:solidFill>
          </w14:textFill>
        </w:rPr>
        <w:t xml:space="preserve">多帧稳定性检测机制通过历史检测结果过滤抖动；使用GPU加速利用CUDA流处理提升性能。 </w:t>
      </w:r>
    </w:p>
    <w:p>
      <w:pPr>
        <w:pStyle w:val="5"/>
        <w:spacing w:before="312" w:after="62"/>
        <w:rPr>
          <w:color w:val="000000" w:themeColor="text1"/>
          <w14:textFill>
            <w14:solidFill>
              <w14:schemeClr w14:val="tx1"/>
            </w14:solidFill>
          </w14:textFill>
        </w:rPr>
      </w:pPr>
      <w:r>
        <w:rPr>
          <w:rFonts w:hint="eastAsia"/>
          <w:color w:val="000000" w:themeColor="text1"/>
          <w14:textFill>
            <w14:solidFill>
              <w14:schemeClr w14:val="tx1"/>
            </w14:solidFill>
          </w14:textFill>
        </w:rPr>
        <w:t>结果处理模块</w:t>
      </w:r>
    </w:p>
    <w:p>
      <w:pPr>
        <w:pStyle w:val="3"/>
        <w:spacing w:before="62" w:after="6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首先使用IOU计算改进边界框匹配算法；然后通过稳定性过滤多帧选择一致性判断检测物品种类；经过可视化渲染绘制检测框及标签信息。</w:t>
      </w:r>
    </w:p>
    <w:p>
      <w:pPr>
        <w:pStyle w:val="3"/>
        <w:keepNext/>
        <w:spacing w:before="62" w:after="62"/>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501900" cy="1624330"/>
            <wp:effectExtent l="0" t="0" r="0" b="0"/>
            <wp:docPr id="826687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87664" name="图片 1"/>
                    <pic:cNvPicPr>
                      <a:picLocks noChangeAspect="1"/>
                    </pic:cNvPicPr>
                  </pic:nvPicPr>
                  <pic:blipFill>
                    <a:blip r:embed="rId18"/>
                    <a:stretch>
                      <a:fillRect/>
                    </a:stretch>
                  </pic:blipFill>
                  <pic:spPr>
                    <a:xfrm>
                      <a:off x="0" y="0"/>
                      <a:ext cx="2501900" cy="1624330"/>
                    </a:xfrm>
                    <a:prstGeom prst="rect">
                      <a:avLst/>
                    </a:prstGeom>
                  </pic:spPr>
                </pic:pic>
              </a:graphicData>
            </a:graphic>
          </wp:inline>
        </w:drawing>
      </w:r>
    </w:p>
    <w:p>
      <w:pPr>
        <w:pStyle w:val="12"/>
        <w:spacing w:before="93" w:after="9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手动保存</w:t>
      </w:r>
    </w:p>
    <w:p>
      <w:pPr>
        <w:pStyle w:val="3"/>
        <w:spacing w:before="62" w:after="6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最后自动/手动保存（可支持多种格式保存检测结果）。</w:t>
      </w:r>
    </w:p>
    <w:p>
      <w:pPr>
        <w:pStyle w:val="3"/>
        <w:keepNext/>
        <w:spacing w:before="62" w:after="62"/>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501900" cy="1510665"/>
            <wp:effectExtent l="0" t="0" r="0" b="0"/>
            <wp:docPr id="2087656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56382" name="图片 1"/>
                    <pic:cNvPicPr>
                      <a:picLocks noChangeAspect="1"/>
                    </pic:cNvPicPr>
                  </pic:nvPicPr>
                  <pic:blipFill>
                    <a:blip r:embed="rId19"/>
                    <a:stretch>
                      <a:fillRect/>
                    </a:stretch>
                  </pic:blipFill>
                  <pic:spPr>
                    <a:xfrm>
                      <a:off x="0" y="0"/>
                      <a:ext cx="2501900" cy="1510665"/>
                    </a:xfrm>
                    <a:prstGeom prst="rect">
                      <a:avLst/>
                    </a:prstGeom>
                  </pic:spPr>
                </pic:pic>
              </a:graphicData>
            </a:graphic>
          </wp:inline>
        </w:drawing>
      </w:r>
    </w:p>
    <w:p>
      <w:pPr>
        <w:pStyle w:val="12"/>
        <w:spacing w:before="93" w:after="9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rPr>
        <w:t>结果</w:t>
      </w:r>
      <w:r>
        <w:rPr>
          <w:rFonts w:hint="eastAsia"/>
          <w:color w:val="000000" w:themeColor="text1"/>
          <w14:textFill>
            <w14:solidFill>
              <w14:schemeClr w14:val="tx1"/>
            </w14:solidFill>
          </w14:textFill>
        </w:rPr>
        <w:t>保存</w:t>
      </w:r>
    </w:p>
    <w:p>
      <w:pPr>
        <w:pStyle w:val="5"/>
        <w:spacing w:before="312" w:after="62"/>
        <w:rPr>
          <w:color w:val="000000" w:themeColor="text1"/>
          <w14:textFill>
            <w14:solidFill>
              <w14:schemeClr w14:val="tx1"/>
            </w14:solidFill>
          </w14:textFill>
        </w:rPr>
      </w:pPr>
      <w:r>
        <w:rPr>
          <w:rFonts w:hint="eastAsia"/>
          <w:color w:val="000000" w:themeColor="text1"/>
          <w14:textFill>
            <w14:solidFill>
              <w14:schemeClr w14:val="tx1"/>
            </w14:solidFill>
          </w14:textFill>
        </w:rPr>
        <w:t>数据管理模块</w:t>
      </w:r>
    </w:p>
    <w:p>
      <w:pPr>
        <w:pStyle w:val="3"/>
        <w:spacing w:before="62" w:after="6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可通过参数配置变动调节置信度阈值，更改检测物检测阈值，使“检测精度与置信度阈值”正相关变动；检测数量与置信度阈值”负相关变动。</w:t>
      </w:r>
    </w:p>
    <w:p>
      <w:pPr>
        <w:pStyle w:val="3"/>
        <w:keepNext/>
        <w:spacing w:before="62" w:after="62"/>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487295" cy="1484630"/>
            <wp:effectExtent l="0" t="0" r="1905" b="1270"/>
            <wp:docPr id="1765616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1680" name="图片 3"/>
                    <pic:cNvPicPr>
                      <a:picLocks noChangeAspect="1"/>
                    </pic:cNvPicPr>
                  </pic:nvPicPr>
                  <pic:blipFill>
                    <a:blip r:embed="rId20"/>
                    <a:stretch>
                      <a:fillRect/>
                    </a:stretch>
                  </pic:blipFill>
                  <pic:spPr>
                    <a:xfrm>
                      <a:off x="0" y="0"/>
                      <a:ext cx="2487295" cy="1484630"/>
                    </a:xfrm>
                    <a:prstGeom prst="rect">
                      <a:avLst/>
                    </a:prstGeom>
                    <a:noFill/>
                    <a:ln>
                      <a:noFill/>
                    </a:ln>
                  </pic:spPr>
                </pic:pic>
              </a:graphicData>
            </a:graphic>
          </wp:inline>
        </w:drawing>
      </w:r>
    </w:p>
    <w:p>
      <w:pPr>
        <w:pStyle w:val="12"/>
        <w:spacing w:before="93" w:after="9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图 \* ARABIC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15</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检测物置信度50%</w:t>
      </w:r>
    </w:p>
    <w:p>
      <w:pPr>
        <w:pStyle w:val="3"/>
        <w:keepNext/>
        <w:spacing w:before="62" w:after="62"/>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487295" cy="1484630"/>
            <wp:effectExtent l="0" t="0" r="1905" b="1270"/>
            <wp:docPr id="20294040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04081" name="图片 4"/>
                    <pic:cNvPicPr>
                      <a:picLocks noChangeAspect="1"/>
                    </pic:cNvPicPr>
                  </pic:nvPicPr>
                  <pic:blipFill>
                    <a:blip r:embed="rId21"/>
                    <a:stretch>
                      <a:fillRect/>
                    </a:stretch>
                  </pic:blipFill>
                  <pic:spPr>
                    <a:xfrm>
                      <a:off x="0" y="0"/>
                      <a:ext cx="2487295" cy="1484630"/>
                    </a:xfrm>
                    <a:prstGeom prst="rect">
                      <a:avLst/>
                    </a:prstGeom>
                    <a:noFill/>
                    <a:ln>
                      <a:noFill/>
                    </a:ln>
                  </pic:spPr>
                </pic:pic>
              </a:graphicData>
            </a:graphic>
          </wp:inline>
        </w:drawing>
      </w:r>
    </w:p>
    <w:p>
      <w:pPr>
        <w:pStyle w:val="12"/>
        <w:spacing w:before="93" w:after="93"/>
        <w:rPr>
          <w:color w:val="000000" w:themeColor="text1"/>
          <w:highlight w:val="red"/>
          <w14:textFill>
            <w14:solidFill>
              <w14:schemeClr w14:val="tx1"/>
            </w14:solidFill>
          </w14:textFill>
        </w:rPr>
      </w:pPr>
      <w:r>
        <w:rPr>
          <w:rFonts w:hint="eastAsia"/>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检测物置信度70%</w:t>
      </w:r>
    </w:p>
    <w:p>
      <w:pPr>
        <w:pStyle w:val="3"/>
        <w:spacing w:before="62" w:after="6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设置持久化将主题、自动保存等设置保存；随后将结构化数据导出（JSON/TXT）生成报告（在垃圾分类知识库使用中英文映射表进行提示）。</w:t>
      </w:r>
    </w:p>
    <w:p>
      <w:pPr>
        <w:pStyle w:val="3"/>
        <w:keepNext/>
        <w:spacing w:before="62" w:after="62"/>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487295" cy="1484630"/>
            <wp:effectExtent l="0" t="0" r="1905" b="1270"/>
            <wp:docPr id="1513996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9661" name="图片 5"/>
                    <pic:cNvPicPr>
                      <a:picLocks noChangeAspect="1"/>
                    </pic:cNvPicPr>
                  </pic:nvPicPr>
                  <pic:blipFill>
                    <a:blip r:embed="rId22"/>
                    <a:stretch>
                      <a:fillRect/>
                    </a:stretch>
                  </pic:blipFill>
                  <pic:spPr>
                    <a:xfrm>
                      <a:off x="0" y="0"/>
                      <a:ext cx="2487295" cy="1484630"/>
                    </a:xfrm>
                    <a:prstGeom prst="rect">
                      <a:avLst/>
                    </a:prstGeom>
                    <a:noFill/>
                    <a:ln>
                      <a:noFill/>
                    </a:ln>
                  </pic:spPr>
                </pic:pic>
              </a:graphicData>
            </a:graphic>
          </wp:inline>
        </w:drawing>
      </w:r>
    </w:p>
    <w:p>
      <w:pPr>
        <w:pStyle w:val="12"/>
        <w:spacing w:before="93" w:after="9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图 \* ARABIC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17</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结果保存</w:t>
      </w:r>
    </w:p>
    <w:p>
      <w:pPr>
        <w:pStyle w:val="3"/>
        <w:keepNext/>
        <w:spacing w:before="62" w:after="62"/>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487295" cy="1484630"/>
            <wp:effectExtent l="0" t="0" r="1905" b="1270"/>
            <wp:docPr id="7172498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9899" name="图片 6"/>
                    <pic:cNvPicPr>
                      <a:picLocks noChangeAspect="1"/>
                    </pic:cNvPicPr>
                  </pic:nvPicPr>
                  <pic:blipFill>
                    <a:blip r:embed="rId23"/>
                    <a:stretch>
                      <a:fillRect/>
                    </a:stretch>
                  </pic:blipFill>
                  <pic:spPr>
                    <a:xfrm>
                      <a:off x="0" y="0"/>
                      <a:ext cx="2487295" cy="1484630"/>
                    </a:xfrm>
                    <a:prstGeom prst="rect">
                      <a:avLst/>
                    </a:prstGeom>
                    <a:noFill/>
                    <a:ln>
                      <a:noFill/>
                    </a:ln>
                  </pic:spPr>
                </pic:pic>
              </a:graphicData>
            </a:graphic>
          </wp:inline>
        </w:drawing>
      </w:r>
    </w:p>
    <w:p>
      <w:pPr>
        <w:pStyle w:val="12"/>
        <w:spacing w:before="93" w:after="93"/>
        <w:rPr>
          <w:color w:val="000000" w:themeColor="text1"/>
          <w:highlight w:val="red"/>
          <w14:textFill>
            <w14:solidFill>
              <w14:schemeClr w14:val="tx1"/>
            </w14:solidFill>
          </w14:textFill>
        </w:rPr>
      </w:pPr>
      <w:r>
        <w:rPr>
          <w:rFonts w:hint="eastAsia"/>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结果显示</w:t>
      </w:r>
    </w:p>
    <w:p>
      <w:pPr>
        <w:pStyle w:val="5"/>
        <w:spacing w:before="312" w:after="62"/>
        <w:rPr>
          <w:color w:val="000000" w:themeColor="text1"/>
          <w14:textFill>
            <w14:solidFill>
              <w14:schemeClr w14:val="tx1"/>
            </w14:solidFill>
          </w14:textFill>
        </w:rPr>
      </w:pPr>
      <w:r>
        <w:rPr>
          <w:rFonts w:hint="eastAsia"/>
          <w:color w:val="000000" w:themeColor="text1"/>
          <w14:textFill>
            <w14:solidFill>
              <w14:schemeClr w14:val="tx1"/>
            </w14:solidFill>
          </w14:textFill>
        </w:rPr>
        <w:t>训练优化模块</w:t>
      </w:r>
    </w:p>
    <w:p>
      <w:pPr>
        <w:pStyle w:val="3"/>
        <w:spacing w:before="62" w:after="6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使用自定义损失函数引入类别权重平衡数据分布；应用多种Albumentations变换增强数据策略；使用MLflow进行实验跟踪；最后模型评估记录mAP等关键指标。</w:t>
      </w:r>
    </w:p>
    <w:p>
      <w:pPr>
        <w:pStyle w:val="3"/>
        <w:keepNext/>
        <w:spacing w:before="62" w:after="62"/>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321560" cy="1462405"/>
            <wp:effectExtent l="0" t="0" r="2540" b="10795"/>
            <wp:docPr id="2143236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36204" name="图片 1"/>
                    <pic:cNvPicPr>
                      <a:picLocks noChangeAspect="1"/>
                    </pic:cNvPicPr>
                  </pic:nvPicPr>
                  <pic:blipFill>
                    <a:blip r:embed="rId24"/>
                    <a:stretch>
                      <a:fillRect/>
                    </a:stretch>
                  </pic:blipFill>
                  <pic:spPr>
                    <a:xfrm>
                      <a:off x="0" y="0"/>
                      <a:ext cx="2321560" cy="1462405"/>
                    </a:xfrm>
                    <a:prstGeom prst="rect">
                      <a:avLst/>
                    </a:prstGeom>
                    <a:noFill/>
                    <a:ln>
                      <a:noFill/>
                    </a:ln>
                  </pic:spPr>
                </pic:pic>
              </a:graphicData>
            </a:graphic>
          </wp:inline>
        </w:drawing>
      </w:r>
    </w:p>
    <w:p>
      <w:pPr>
        <w:pStyle w:val="12"/>
        <w:spacing w:before="93" w:after="9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图 \* ARABIC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19</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mlflow监控模型训练过程1</w:t>
      </w:r>
    </w:p>
    <w:p>
      <w:pPr>
        <w:pStyle w:val="3"/>
        <w:keepNext/>
        <w:spacing w:before="62" w:after="62"/>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306320" cy="1359535"/>
            <wp:effectExtent l="0" t="0" r="5080" b="12065"/>
            <wp:docPr id="5941315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31517" name="图片 2"/>
                    <pic:cNvPicPr>
                      <a:picLocks noChangeAspect="1"/>
                    </pic:cNvPicPr>
                  </pic:nvPicPr>
                  <pic:blipFill>
                    <a:blip r:embed="rId25"/>
                    <a:stretch>
                      <a:fillRect/>
                    </a:stretch>
                  </pic:blipFill>
                  <pic:spPr>
                    <a:xfrm>
                      <a:off x="0" y="0"/>
                      <a:ext cx="2306320" cy="1359535"/>
                    </a:xfrm>
                    <a:prstGeom prst="rect">
                      <a:avLst/>
                    </a:prstGeom>
                    <a:noFill/>
                    <a:ln>
                      <a:noFill/>
                    </a:ln>
                  </pic:spPr>
                </pic:pic>
              </a:graphicData>
            </a:graphic>
          </wp:inline>
        </w:drawing>
      </w:r>
    </w:p>
    <w:p>
      <w:pPr>
        <w:pStyle w:val="12"/>
        <w:spacing w:before="93" w:after="93"/>
        <w:rPr>
          <w:color w:val="000000" w:themeColor="text1"/>
          <w:highlight w:val="red"/>
          <w14:textFill>
            <w14:solidFill>
              <w14:schemeClr w14:val="tx1"/>
            </w14:solidFill>
          </w14:textFill>
        </w:rPr>
      </w:pPr>
      <w:r>
        <w:rPr>
          <w:rFonts w:hint="eastAsia"/>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mlflow监控模型训练过程2</w:t>
      </w:r>
    </w:p>
    <w:p>
      <w:pPr>
        <w:widowControl/>
        <w:ind w:firstLine="420"/>
        <w:jc w:val="left"/>
        <w:rPr>
          <w:rFonts w:ascii="Segoe UI" w:hAnsi="Segoe UI" w:eastAsia="宋体" w:cs="Segoe UI"/>
          <w:color w:val="000000" w:themeColor="text1"/>
          <w:kern w:val="0"/>
          <w:sz w:val="27"/>
          <w:szCs w:val="27"/>
          <w14:textFill>
            <w14:solidFill>
              <w14:schemeClr w14:val="tx1"/>
            </w14:solidFill>
          </w14:textFill>
        </w:rPr>
      </w:pPr>
      <w:r>
        <w:rPr>
          <w:rFonts w:ascii="Segoe UI" w:hAnsi="Segoe UI" w:eastAsia="宋体" w:cs="Segoe UI"/>
          <w:color w:val="000000" w:themeColor="text1"/>
          <w:kern w:val="0"/>
          <w:sz w:val="27"/>
          <w:szCs w:val="27"/>
          <w14:textFill>
            <w14:solidFill>
              <w14:schemeClr w14:val="tx1"/>
            </w14:solidFill>
          </w14:textFill>
        </w:rPr>
        <w:t>实现Focal Loss改进分类损失，缓解类别不均衡问题</w:t>
      </w:r>
      <w:r>
        <w:rPr>
          <w:rFonts w:hint="eastAsia" w:ascii="Segoe UI" w:hAnsi="Segoe UI" w:eastAsia="宋体" w:cs="Segoe UI"/>
          <w:color w:val="000000" w:themeColor="text1"/>
          <w:kern w:val="0"/>
          <w:sz w:val="27"/>
          <w:szCs w:val="27"/>
          <w14:textFill>
            <w14:solidFill>
              <w14:schemeClr w14:val="tx1"/>
            </w14:solidFill>
          </w14:textFill>
        </w:rPr>
        <w:t>;</w:t>
      </w:r>
    </w:p>
    <w:p>
      <w:pPr>
        <w:widowControl/>
        <w:jc w:val="left"/>
        <w:rPr>
          <w:rFonts w:ascii="Segoe UI" w:hAnsi="Segoe UI" w:eastAsia="宋体" w:cs="Segoe UI"/>
          <w:color w:val="000000" w:themeColor="text1"/>
          <w:kern w:val="0"/>
          <w:sz w:val="27"/>
          <w:szCs w:val="27"/>
          <w14:textFill>
            <w14:solidFill>
              <w14:schemeClr w14:val="tx1"/>
            </w14:solidFill>
          </w14:textFill>
        </w:rPr>
      </w:pPr>
      <w:r>
        <w:rPr>
          <w:rFonts w:ascii="Segoe UI" w:hAnsi="Segoe UI" w:eastAsia="宋体" w:cs="Segoe UI"/>
          <w:color w:val="000000" w:themeColor="text1"/>
          <w:kern w:val="0"/>
          <w:sz w:val="27"/>
          <w:szCs w:val="27"/>
          <w14:textFill>
            <w14:solidFill>
              <w14:schemeClr w14:val="tx1"/>
            </w14:solidFill>
          </w14:textFill>
        </w:rPr>
        <w:t xml:space="preserve"> 通过 Adam优化器、学习率衰减（lr0 → lrf）、L2 正则化（weight_decay）提升训练稳定性</w:t>
      </w:r>
      <w:r>
        <w:rPr>
          <w:rFonts w:hint="eastAsia" w:ascii="Segoe UI" w:hAnsi="Segoe UI" w:eastAsia="宋体" w:cs="Segoe UI"/>
          <w:color w:val="000000" w:themeColor="text1"/>
          <w:kern w:val="0"/>
          <w:sz w:val="27"/>
          <w:szCs w:val="27"/>
          <w14:textFill>
            <w14:solidFill>
              <w14:schemeClr w14:val="tx1"/>
            </w14:solidFill>
          </w14:textFill>
        </w:rPr>
        <w:t>。</w:t>
      </w:r>
    </w:p>
    <w:p>
      <w:pPr>
        <w:widowControl/>
        <w:ind w:firstLine="420"/>
        <w:jc w:val="left"/>
        <w:rPr>
          <w:rFonts w:ascii="Segoe UI" w:hAnsi="Segoe UI" w:eastAsia="宋体" w:cs="Segoe UI"/>
          <w:color w:val="000000" w:themeColor="text1"/>
          <w:kern w:val="0"/>
          <w:sz w:val="27"/>
          <w:szCs w:val="27"/>
          <w14:textFill>
            <w14:solidFill>
              <w14:schemeClr w14:val="tx1"/>
            </w14:solidFill>
          </w14:textFill>
        </w:rPr>
      </w:pPr>
      <w:r>
        <w:rPr>
          <w:rFonts w:ascii="Segoe UI" w:hAnsi="Segoe UI" w:eastAsia="宋体" w:cs="Segoe UI"/>
          <w:color w:val="000000" w:themeColor="text1"/>
          <w:kern w:val="0"/>
          <w:sz w:val="27"/>
          <w:szCs w:val="27"/>
          <w14:textFill>
            <w14:solidFill>
              <w14:schemeClr w14:val="tx1"/>
            </w14:solidFill>
          </w14:textFill>
        </w:rPr>
        <w:t>对边界框回归（box）、分类（cls）、DFL（dfl）损失分配不同权重。</w:t>
      </w:r>
    </w:p>
    <w:p>
      <w:pPr>
        <w:pStyle w:val="2"/>
        <w:spacing w:before="936" w:after="156"/>
      </w:pPr>
      <w:bookmarkStart w:id="20" w:name="_Toc18473"/>
      <w:r>
        <w:rPr>
          <w:rFonts w:hint="eastAsia"/>
        </w:rPr>
        <w:t>测试分析</w:t>
      </w:r>
      <w:bookmarkEnd w:id="20"/>
    </w:p>
    <w:p>
      <w:pPr>
        <w:pStyle w:val="4"/>
        <w:spacing w:before="468" w:after="93"/>
        <w:rPr>
          <w:color w:val="000000" w:themeColor="text1"/>
          <w14:textFill>
            <w14:solidFill>
              <w14:schemeClr w14:val="tx1"/>
            </w14:solidFill>
          </w14:textFill>
        </w:rPr>
      </w:pPr>
      <w:bookmarkStart w:id="21" w:name="_Toc7501"/>
      <w:r>
        <w:rPr>
          <w:rFonts w:hint="eastAsia"/>
          <w:color w:val="000000" w:themeColor="text1"/>
          <w14:textFill>
            <w14:solidFill>
              <w14:schemeClr w14:val="tx1"/>
            </w14:solidFill>
          </w14:textFill>
        </w:rPr>
        <w:t>测试环境</w:t>
      </w:r>
      <w:bookmarkEnd w:id="21"/>
    </w:p>
    <w:p>
      <w:pPr>
        <w:pStyle w:val="3"/>
        <w:spacing w:before="62" w:after="62"/>
        <w:ind w:firstLine="480"/>
        <w:jc w:val="left"/>
        <w:rPr>
          <w:color w:val="000000" w:themeColor="text1"/>
          <w14:textFill>
            <w14:solidFill>
              <w14:schemeClr w14:val="tx1"/>
            </w14:solidFill>
          </w14:textFill>
        </w:rPr>
      </w:pPr>
      <w:r>
        <w:t>实现一个基于YOLOv11的垃圾分类检测系统，包含训练脚本和图形界面应用</w:t>
      </w:r>
      <w:r>
        <w:rPr>
          <w:rFonts w:hint="eastAsia"/>
        </w:rPr>
        <w:t>（可视化界面）</w:t>
      </w:r>
      <w:r>
        <w:t>两大部分。训练模块通过自定义损失函数（引入类别权重平衡和Focal Loss）优化模型性能，并采用丰富的数据增强技术（如随机雨雾/阴影/模糊）提升泛化能力，结合MLflow进行实验跟踪与模型管理。图形界面应用基于PyQt5构建，支持</w:t>
      </w:r>
      <w:r>
        <w:rPr>
          <w:color w:val="000000" w:themeColor="text1"/>
          <w14:textFill>
            <w14:solidFill>
              <w14:schemeClr w14:val="tx1"/>
            </w14:solidFill>
          </w14:textFill>
        </w:rPr>
        <w:t>摄像头实时检测与图片分析，采用双线程架构保障流畅性，内置自动保存检测结果功能，提供置信度滑块调节和可视化统计报告，界面设计兼具卡片式布局与交互反馈，实现了从模型训练到部署的完整流程。</w:t>
      </w:r>
    </w:p>
    <w:p>
      <w:pPr>
        <w:pStyle w:val="3"/>
        <w:spacing w:before="62" w:after="62"/>
        <w:ind w:firstLine="480"/>
        <w:rPr>
          <w:color w:val="000000" w:themeColor="text1"/>
          <w14:textFill>
            <w14:solidFill>
              <w14:schemeClr w14:val="tx1"/>
            </w14:solidFill>
          </w14:textFill>
        </w:rPr>
      </w:pPr>
    </w:p>
    <w:p>
      <w:pPr>
        <w:pStyle w:val="3"/>
        <w:keepNext/>
        <w:spacing w:before="62" w:after="62"/>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610485" cy="1764030"/>
            <wp:effectExtent l="0" t="0" r="5715" b="1270"/>
            <wp:docPr id="6" name="图片 2" descr="C:\Users\19051\Desktop\BFB6BE9C46723F0512ECD250AE53325C.pngBFB6BE9C46723F0512ECD250AE533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C:\Users\19051\Desktop\BFB6BE9C46723F0512ECD250AE53325C.pngBFB6BE9C46723F0512ECD250AE53325C"/>
                    <pic:cNvPicPr>
                      <a:picLocks noChangeAspect="1"/>
                    </pic:cNvPicPr>
                  </pic:nvPicPr>
                  <pic:blipFill>
                    <a:blip r:embed="rId26"/>
                    <a:srcRect/>
                    <a:stretch>
                      <a:fillRect/>
                    </a:stretch>
                  </pic:blipFill>
                  <pic:spPr>
                    <a:xfrm>
                      <a:off x="0" y="0"/>
                      <a:ext cx="2610485" cy="1764030"/>
                    </a:xfrm>
                    <a:prstGeom prst="rect">
                      <a:avLst/>
                    </a:prstGeom>
                    <a:noFill/>
                    <a:ln>
                      <a:noFill/>
                    </a:ln>
                  </pic:spPr>
                </pic:pic>
              </a:graphicData>
            </a:graphic>
          </wp:inline>
        </w:drawing>
      </w:r>
    </w:p>
    <w:p>
      <w:pPr>
        <w:pStyle w:val="12"/>
        <w:spacing w:before="93" w:after="93"/>
        <w:rPr>
          <w:color w:val="000000" w:themeColor="text1"/>
          <w:highlight w:val="red"/>
          <w14:textFill>
            <w14:solidFill>
              <w14:schemeClr w14:val="tx1"/>
            </w14:solidFill>
          </w14:textFill>
        </w:rPr>
      </w:pPr>
      <w:r>
        <w:rPr>
          <w:rFonts w:hint="eastAsia"/>
          <w:color w:val="000000" w:themeColor="text1"/>
          <w14:textFill>
            <w14:solidFill>
              <w14:schemeClr w14:val="tx1"/>
            </w14:solidFill>
          </w14:textFill>
        </w:rPr>
        <w:t>图 21 界面设计架构图</w:t>
      </w:r>
    </w:p>
    <w:p>
      <w:pPr>
        <w:pStyle w:val="3"/>
        <w:spacing w:before="62" w:after="62"/>
        <w:ind w:firstLine="480"/>
        <w:rPr>
          <w:color w:val="000000" w:themeColor="text1"/>
          <w14:textFill>
            <w14:solidFill>
              <w14:schemeClr w14:val="tx1"/>
            </w14:solidFill>
          </w14:textFill>
        </w:rPr>
      </w:pPr>
    </w:p>
    <w:p>
      <w:pPr>
        <w:pStyle w:val="4"/>
        <w:spacing w:before="468" w:after="93"/>
        <w:rPr>
          <w:color w:val="000000" w:themeColor="text1"/>
          <w14:textFill>
            <w14:solidFill>
              <w14:schemeClr w14:val="tx1"/>
            </w14:solidFill>
          </w14:textFill>
        </w:rPr>
      </w:pPr>
      <w:bookmarkStart w:id="22" w:name="_Toc28793"/>
      <w:r>
        <w:rPr>
          <w:rFonts w:hint="eastAsia"/>
          <w:color w:val="000000" w:themeColor="text1"/>
          <w14:textFill>
            <w14:solidFill>
              <w14:schemeClr w14:val="tx1"/>
            </w14:solidFill>
          </w14:textFill>
        </w:rPr>
        <w:t>功能测试</w:t>
      </w:r>
      <w:bookmarkEnd w:id="22"/>
    </w:p>
    <w:p>
      <w:pPr>
        <w:pStyle w:val="3"/>
        <w:spacing w:before="62" w:after="62"/>
        <w:ind w:firstLine="480"/>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该应用是一个桌面端垃圾识别检测工具，主要功能包括：</w:t>
      </w:r>
    </w:p>
    <w:p>
      <w:pPr>
        <w:pStyle w:val="3"/>
        <w:spacing w:before="62" w:after="62"/>
        <w:ind w:firstLine="480"/>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1.加载 YOLO 模型进行对象检测。</w:t>
      </w:r>
    </w:p>
    <w:p>
      <w:pPr>
        <w:pStyle w:val="3"/>
        <w:spacing w:before="62" w:after="62"/>
        <w:ind w:firstLine="480"/>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2.支持对静态图片进行检测。</w:t>
      </w:r>
    </w:p>
    <w:p>
      <w:pPr>
        <w:pStyle w:val="3"/>
        <w:spacing w:before="62" w:after="62"/>
        <w:ind w:firstLine="480"/>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3.支持对实时摄像头画面进行检测。</w:t>
      </w:r>
    </w:p>
    <w:p>
      <w:pPr>
        <w:pStyle w:val="3"/>
        <w:spacing w:before="62" w:after="62"/>
        <w:ind w:firstLine="480"/>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4.允许用户调整检测的置信度阈值。</w:t>
      </w:r>
    </w:p>
    <w:p>
      <w:pPr>
        <w:pStyle w:val="3"/>
        <w:spacing w:before="62" w:after="62"/>
        <w:ind w:firstLine="480"/>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5.实时显示原始图像/视频流和检测结果。</w:t>
      </w:r>
    </w:p>
    <w:p>
      <w:pPr>
        <w:pStyle w:val="3"/>
        <w:spacing w:before="62" w:after="62"/>
        <w:ind w:firstLine="480"/>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6.详细展示检测到的垃圾对象的分类信息（中英文名称、类别、处理建议、置信度等）。</w:t>
      </w:r>
    </w:p>
    <w:p>
      <w:pPr>
        <w:pStyle w:val="3"/>
        <w:spacing w:before="62" w:after="62"/>
        <w:ind w:firstLine="480"/>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7.提供手动保存检测结果图片的功能。</w:t>
      </w:r>
    </w:p>
    <w:p>
      <w:pPr>
        <w:pStyle w:val="3"/>
        <w:spacing w:before="62" w:after="62"/>
        <w:ind w:firstLine="480"/>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8.提供查看详细检测统计信息的功能。</w:t>
      </w:r>
    </w:p>
    <w:p>
      <w:pPr>
        <w:pStyle w:val="3"/>
        <w:spacing w:before="62" w:after="62"/>
        <w:ind w:firstLine="480"/>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9.提供导出检测报告的功能。</w:t>
      </w:r>
    </w:p>
    <w:p>
      <w:pPr>
        <w:pStyle w:val="3"/>
        <w:spacing w:before="62" w:after="62"/>
        <w:ind w:firstLine="480"/>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10.在摄像头模式下，支持检测到目标后自动保存画面。</w:t>
      </w:r>
    </w:p>
    <w:p>
      <w:pPr>
        <w:pStyle w:val="3"/>
        <w:spacing w:before="62" w:after="62"/>
        <w:ind w:firstLine="480"/>
        <w:rPr>
          <w:color w:val="000000" w:themeColor="text1"/>
          <w14:textFill>
            <w14:solidFill>
              <w14:schemeClr w14:val="tx1"/>
            </w14:solidFill>
          </w14:textFill>
        </w:rPr>
      </w:pPr>
    </w:p>
    <w:p>
      <w:pPr>
        <w:pStyle w:val="4"/>
        <w:spacing w:before="468" w:after="93"/>
        <w:rPr>
          <w:color w:val="000000" w:themeColor="text1"/>
          <w14:textFill>
            <w14:solidFill>
              <w14:schemeClr w14:val="tx1"/>
            </w14:solidFill>
          </w14:textFill>
        </w:rPr>
      </w:pPr>
      <w:bookmarkStart w:id="23" w:name="_Toc32409"/>
      <w:r>
        <w:rPr>
          <w:rFonts w:hint="eastAsia"/>
          <w:color w:val="000000" w:themeColor="text1"/>
          <w14:textFill>
            <w14:solidFill>
              <w14:schemeClr w14:val="tx1"/>
            </w14:solidFill>
          </w14:textFill>
        </w:rPr>
        <w:t>测试结果及分析</w:t>
      </w:r>
      <w:bookmarkEnd w:id="23"/>
    </w:p>
    <w:p>
      <w:pPr>
        <w:pStyle w:val="3"/>
        <w:spacing w:before="62" w:after="62"/>
        <w:ind w:firstLine="482"/>
        <w:jc w:val="left"/>
        <w:rPr>
          <w:rFonts w:ascii="宋体" w:hAnsi="宋体" w:cs="宋体"/>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成功加载模型</w:t>
      </w:r>
      <w:r>
        <w:rPr>
          <w:rFonts w:hint="eastAsia" w:ascii="宋体" w:hAnsi="宋体" w:cs="宋体"/>
          <w:color w:val="000000" w:themeColor="text1"/>
          <w14:textFill>
            <w14:solidFill>
              <w14:schemeClr w14:val="tx1"/>
            </w14:solidFill>
          </w14:textFill>
        </w:rPr>
        <w:t>: 标志着应用的核心依赖（YOLO 模型）已就绪，可以进行检测任务。</w:t>
      </w:r>
    </w:p>
    <w:p>
      <w:pPr>
        <w:pStyle w:val="3"/>
        <w:spacing w:before="62" w:after="62"/>
        <w:ind w:firstLine="482"/>
        <w:rPr>
          <w:rFonts w:ascii="宋体" w:hAnsi="宋体" w:cs="宋体"/>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置信度调整生效</w:t>
      </w:r>
      <w:r>
        <w:rPr>
          <w:rFonts w:hint="eastAsia" w:ascii="宋体" w:hAnsi="宋体" w:cs="宋体"/>
          <w:color w:val="000000" w:themeColor="text1"/>
          <w14:textFill>
            <w14:solidFill>
              <w14:schemeClr w14:val="tx1"/>
            </w14:solidFill>
          </w14:textFill>
        </w:rPr>
        <w:t>:滑块功能正常，且在摄像头模式下能实时（或重启线程后）影响检测结果，说明阈值参数被正确传递和应用。</w:t>
      </w:r>
    </w:p>
    <w:p>
      <w:pPr>
        <w:pStyle w:val="3"/>
        <w:spacing w:before="62" w:after="62"/>
        <w:ind w:firstLine="482"/>
        <w:rPr>
          <w:rFonts w:ascii="宋体" w:hAnsi="宋体" w:cs="宋体"/>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图片检测成功</w:t>
      </w:r>
      <w:r>
        <w:rPr>
          <w:rFonts w:hint="eastAsia" w:ascii="宋体" w:hAnsi="宋体" w:cs="宋体"/>
          <w:color w:val="000000" w:themeColor="text1"/>
          <w14:textFill>
            <w14:solidFill>
              <w14:schemeClr w14:val="tx1"/>
            </w14:solidFill>
          </w14:textFill>
        </w:rPr>
        <w:t>:证明应用能够正确读取、预处理图片，调用模型进行推理，并在图片上绘制结果。检测信息面板的更新说明后处理和信息提取逻辑正确。不同图片的结果差异（如检测对象数量、类别、置信度）是正常的，取决于图片的实际内容和模型的性能。</w:t>
      </w:r>
    </w:p>
    <w:p>
      <w:pPr>
        <w:pStyle w:val="3"/>
        <w:spacing w:before="62" w:after="62"/>
        <w:ind w:firstLine="482"/>
        <w:rPr>
          <w:rFonts w:ascii="宋体" w:hAnsi="宋体" w:cs="宋体"/>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图片检测-无对象/异常图片处理</w:t>
      </w:r>
      <w:r>
        <w:rPr>
          <w:rFonts w:hint="eastAsia" w:ascii="宋体" w:hAnsi="宋体" w:cs="宋体"/>
          <w:color w:val="000000" w:themeColor="text1"/>
          <w14:textFill>
            <w14:solidFill>
              <w14:schemeClr w14:val="tx1"/>
            </w14:solidFill>
          </w14:textFill>
        </w:rPr>
        <w:t>:表明应用具备基本的错误处理能力，能识别无检测目标的情况和无效输入，并给出相应的提示，避免程序崩溃。</w:t>
      </w:r>
    </w:p>
    <w:p>
      <w:pPr>
        <w:pStyle w:val="3"/>
        <w:spacing w:before="62" w:after="62"/>
        <w:ind w:firstLine="482"/>
        <w:rPr>
          <w:rFonts w:ascii="宋体" w:hAnsi="宋体" w:cs="宋体"/>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摄像头检测成功</w:t>
      </w:r>
      <w:r>
        <w:rPr>
          <w:rFonts w:hint="eastAsia" w:ascii="宋体" w:hAnsi="宋体" w:cs="宋体"/>
          <w:color w:val="000000" w:themeColor="text1"/>
          <w14:textFill>
            <w14:solidFill>
              <w14:schemeClr w14:val="tx1"/>
            </w14:solidFill>
          </w14:textFill>
        </w:rPr>
        <w:t>:这是更复杂的实时处理流程。成功的摄像头检测说明应用能够正确初始化摄像头、采集视频流、进行实时检测、并在UI上平滑显示带有检测结果的帧。检测信息的实时更新展示了应用的动态响应能力。</w:t>
      </w:r>
    </w:p>
    <w:p>
      <w:pPr>
        <w:pStyle w:val="3"/>
        <w:spacing w:before="62" w:after="62"/>
        <w:ind w:firstLine="482"/>
        <w:rPr>
          <w:rFonts w:ascii="宋体" w:hAnsi="宋体" w:cs="宋体"/>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摄像头检测-停止</w:t>
      </w:r>
      <w:r>
        <w:rPr>
          <w:rFonts w:hint="eastAsia" w:ascii="宋体" w:hAnsi="宋体" w:cs="宋体"/>
          <w:color w:val="000000" w:themeColor="text1"/>
          <w14:textFill>
            <w14:solidFill>
              <w14:schemeClr w14:val="tx1"/>
            </w14:solidFill>
          </w14:textFill>
        </w:rPr>
        <w:t>:停止功能正常表明工作线程能够被安全终止，释放摄像头资源，避免程序僵死或资源占用过高。</w:t>
      </w:r>
    </w:p>
    <w:p>
      <w:pPr>
        <w:pStyle w:val="3"/>
        <w:spacing w:before="62" w:after="62"/>
        <w:ind w:firstLine="482"/>
        <w:rPr>
          <w:rFonts w:ascii="宋体" w:hAnsi="宋体" w:cs="宋体"/>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摄像头检测-自动保存</w:t>
      </w:r>
      <w:r>
        <w:rPr>
          <w:rFonts w:hint="eastAsia" w:ascii="宋体" w:hAnsi="宋体" w:cs="宋体"/>
          <w:color w:val="000000" w:themeColor="text1"/>
          <w14:textFill>
            <w14:solidFill>
              <w14:schemeClr w14:val="tx1"/>
            </w14:solidFill>
          </w14:textFill>
        </w:rPr>
        <w:t>:此功能测试应用的自动化能力和文件保存逻辑在后台运行的稳定性。成功的自动保存应按照预设规则（如按类别分目录、控制数量、命名规范）进行。</w:t>
      </w:r>
    </w:p>
    <w:p>
      <w:pPr>
        <w:pStyle w:val="3"/>
        <w:spacing w:before="62" w:after="62"/>
        <w:ind w:firstLine="482"/>
        <w:rPr>
          <w:rFonts w:ascii="宋体" w:hAnsi="宋体" w:cs="宋体"/>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手动保存结果/帧</w:t>
      </w:r>
      <w:r>
        <w:rPr>
          <w:rFonts w:hint="eastAsia" w:ascii="宋体" w:hAnsi="宋体" w:cs="宋体"/>
          <w:color w:val="000000" w:themeColor="text1"/>
          <w14:textFill>
            <w14:solidFill>
              <w14:schemeClr w14:val="tx1"/>
            </w14:solidFill>
          </w14:textFill>
        </w:rPr>
        <w:t>:验证了用户按需保存特定画面的能力，文件对话框、路径选择、文件格式处理应正常。</w:t>
      </w:r>
    </w:p>
    <w:p>
      <w:pPr>
        <w:pStyle w:val="3"/>
        <w:spacing w:before="62" w:after="62"/>
        <w:ind w:firstLine="482"/>
        <w:rPr>
          <w:rFonts w:ascii="宋体" w:hAnsi="宋体" w:cs="宋体"/>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查看统计/导出报告</w:t>
      </w:r>
      <w:r>
        <w:rPr>
          <w:rFonts w:hint="eastAsia" w:ascii="宋体" w:hAnsi="宋体" w:cs="宋体"/>
          <w:color w:val="000000" w:themeColor="text1"/>
          <w14:textFill>
            <w14:solidFill>
              <w14:schemeClr w14:val="tx1"/>
            </w14:solidFill>
          </w14:textFill>
        </w:rPr>
        <w:t>:这些功能测试应用对原始检测结果数据的进一步处理、汇总和格式化能力。统计信息应准确反映当前检测结果，报告内容应结构清晰、包含关键信息。</w:t>
      </w:r>
    </w:p>
    <w:p>
      <w:pPr>
        <w:pStyle w:val="3"/>
        <w:spacing w:before="62" w:after="62"/>
        <w:ind w:firstLine="482"/>
        <w:rPr>
          <w:rFonts w:ascii="宋体" w:hAnsi="宋体" w:cs="宋体"/>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模型未加载提示</w:t>
      </w:r>
      <w:r>
        <w:rPr>
          <w:rFonts w:hint="eastAsia" w:ascii="宋体" w:hAnsi="宋体" w:cs="宋体"/>
          <w:color w:val="000000" w:themeColor="text1"/>
          <w14:textFill>
            <w14:solidFill>
              <w14:schemeClr w14:val="tx1"/>
            </w14:solidFill>
          </w14:textFill>
        </w:rPr>
        <w:t>:这是一个友好的用户提示，防止用户在必要条件不满足时执行检测操作。</w:t>
      </w:r>
    </w:p>
    <w:p>
      <w:pPr>
        <w:pStyle w:val="3"/>
        <w:spacing w:before="62" w:after="62"/>
        <w:ind w:firstLine="482"/>
        <w:rPr>
          <w:rFonts w:ascii="宋体" w:hAnsi="宋体" w:cs="宋体"/>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应用关闭</w:t>
      </w:r>
      <w:r>
        <w:rPr>
          <w:rFonts w:hint="eastAsia" w:ascii="宋体" w:hAnsi="宋体" w:cs="宋体"/>
          <w:color w:val="000000" w:themeColor="text1"/>
          <w14:textFill>
            <w14:solidFill>
              <w14:schemeClr w14:val="tx1"/>
            </w14:solidFill>
          </w14:textFill>
        </w:rPr>
        <w:t>:应用能够正常关闭并清理资源是稳定性的基本要求。</w:t>
      </w:r>
    </w:p>
    <w:p>
      <w:pPr>
        <w:pStyle w:val="2"/>
        <w:spacing w:before="936" w:after="156"/>
      </w:pPr>
      <w:bookmarkStart w:id="24" w:name="_Toc70698343"/>
      <w:bookmarkStart w:id="25" w:name="_Toc32509"/>
      <w:r>
        <w:rPr>
          <w:rFonts w:hint="eastAsia"/>
        </w:rPr>
        <w:t>作品总结</w:t>
      </w:r>
      <w:bookmarkEnd w:id="24"/>
      <w:bookmarkEnd w:id="25"/>
    </w:p>
    <w:p>
      <w:pPr>
        <w:pStyle w:val="4"/>
        <w:spacing w:before="468" w:after="93"/>
        <w:rPr>
          <w:color w:val="000000" w:themeColor="text1"/>
          <w14:textFill>
            <w14:solidFill>
              <w14:schemeClr w14:val="tx1"/>
            </w14:solidFill>
          </w14:textFill>
        </w:rPr>
      </w:pPr>
      <w:bookmarkStart w:id="26" w:name="_Toc30844"/>
      <w:r>
        <w:rPr>
          <w:rFonts w:hint="eastAsia"/>
          <w:color w:val="000000" w:themeColor="text1"/>
          <w14:textFill>
            <w14:solidFill>
              <w14:schemeClr w14:val="tx1"/>
            </w14:solidFill>
          </w14:textFill>
        </w:rPr>
        <w:t>作品特色与创新点</w:t>
      </w:r>
      <w:bookmarkEnd w:id="26"/>
    </w:p>
    <w:p>
      <w:pPr>
        <w:pStyle w:val="5"/>
        <w:spacing w:before="312" w:after="62"/>
      </w:pPr>
      <w:r>
        <w:rPr>
          <w:rFonts w:hint="eastAsia"/>
        </w:rPr>
        <w:t>在嵌入式或资源受限环境下实现高性能目标检测</w:t>
      </w:r>
    </w:p>
    <w:p>
      <w:pPr>
        <w:pStyle w:val="3"/>
        <w:spacing w:before="62" w:after="62"/>
        <w:ind w:firstLine="199" w:firstLineChars="83"/>
        <w:jc w:val="left"/>
      </w:pPr>
      <w:r>
        <w:rPr>
          <w:rFonts w:hint="eastAsia"/>
        </w:rPr>
        <w:t>使用 YOLOv11n（Nano版本）作为基础模型，采用“轻量化模型+高性能推理优化”，兼顾实时性和准确率。</w:t>
      </w:r>
    </w:p>
    <w:p>
      <w:pPr>
        <w:pStyle w:val="3"/>
        <w:spacing w:before="62" w:after="62"/>
        <w:ind w:firstLine="480"/>
        <w:jc w:val="left"/>
      </w:pPr>
      <w:r>
        <w:rPr>
          <w:rFonts w:hint="eastAsia"/>
        </w:rPr>
        <w:t>在WebcamWorker 中使用 torch.cuda.Stream() 提升并发性能，引入 GPU加速和 CUDA流处理提升性能。</w:t>
      </w:r>
    </w:p>
    <w:p>
      <w:pPr>
        <w:pStyle w:val="3"/>
        <w:spacing w:before="62" w:after="62"/>
        <w:ind w:firstLine="480"/>
        <w:jc w:val="left"/>
      </w:pPr>
      <w:r>
        <w:rPr>
          <w:rFonts w:hint="eastAsia"/>
        </w:rPr>
        <w:t>对图像进行标准化预处理（保持宽高比、边缘填充），提升小目标检测效果。</w:t>
      </w:r>
    </w:p>
    <w:p>
      <w:pPr>
        <w:pStyle w:val="5"/>
        <w:spacing w:before="312" w:after="62"/>
      </w:pPr>
      <w:r>
        <w:rPr>
          <w:rFonts w:hint="eastAsia"/>
        </w:rPr>
        <w:t>在嵌入式或资源受限环境下实现高性能目标检测</w:t>
      </w:r>
    </w:p>
    <w:p>
      <w:pPr>
        <w:pStyle w:val="3"/>
        <w:spacing w:before="62" w:after="62"/>
        <w:ind w:firstLine="480"/>
      </w:pPr>
      <w:r>
        <w:rPr>
          <w:rFonts w:hint="eastAsia"/>
        </w:rPr>
        <w:t>摄像头帧缓存与多帧稳定性检测机制使用 deque 缓存最近几帧，避免因单帧误检导致的抖动问题，实现了多帧一致性判断逻辑 _filter_results()，</w:t>
      </w:r>
    </w:p>
    <w:p>
      <w:pPr>
        <w:pStyle w:val="5"/>
        <w:spacing w:before="312" w:after="62"/>
      </w:pPr>
      <w:r>
        <w:rPr>
          <w:rFonts w:hint="eastAsia"/>
        </w:rPr>
        <w:t>智能记录及目标回溯</w:t>
      </w:r>
    </w:p>
    <w:p>
      <w:pPr>
        <w:pStyle w:val="3"/>
        <w:spacing w:before="62" w:after="62"/>
        <w:ind w:firstLine="480"/>
        <w:jc w:val="left"/>
      </w:pPr>
      <w:r>
        <w:rPr>
          <w:rFonts w:hint="eastAsia"/>
        </w:rPr>
        <w:t>“自动保存机制+手动截图“功能自动保存检测到的图像，避免人工干预；每次检测到目标后，触发信号 auto_save_requested.emit(frame) 并保存为文件。同样支持手动截图保存当前画面（支持PNG/JPG等格式）。</w:t>
      </w:r>
    </w:p>
    <w:p>
      <w:pPr>
        <w:pStyle w:val="5"/>
        <w:spacing w:before="312" w:after="62"/>
      </w:pPr>
      <w:r>
        <w:rPr>
          <w:rFonts w:hint="eastAsia"/>
        </w:rPr>
        <w:t>数据接口扩展及集成</w:t>
      </w:r>
    </w:p>
    <w:p>
      <w:pPr>
        <w:pStyle w:val="3"/>
        <w:spacing w:before="62" w:after="62"/>
        <w:ind w:firstLine="480"/>
      </w:pPr>
      <w:r>
        <w:rPr>
          <w:rFonts w:hint="eastAsia"/>
        </w:rPr>
        <w:t>结构化数据导出与可视化报告生成，支持将检测结果导出为 .json 或 .txt 格式；报告中包含每类垃圾的数量、平均置信度、最高/最低置信度、分类建议等信息。</w:t>
      </w:r>
    </w:p>
    <w:p>
      <w:pPr>
        <w:pStyle w:val="5"/>
        <w:spacing w:before="312" w:after="62"/>
      </w:pPr>
      <w:r>
        <w:rPr>
          <w:rFonts w:hint="eastAsia"/>
        </w:rPr>
        <w:t>“识别+分类+建议”一体化系统</w:t>
      </w:r>
    </w:p>
    <w:p>
      <w:pPr>
        <w:pStyle w:val="3"/>
        <w:spacing w:before="62" w:after="62"/>
        <w:ind w:firstLine="480"/>
      </w:pPr>
      <w:r>
        <w:rPr>
          <w:rFonts w:hint="eastAsia"/>
        </w:rPr>
        <w:t>垃圾分类知识图谱集成内建垃圾分类映射表，支持中文名称、类别、处理建议；支持自定义添加更多垃圾类别。</w:t>
      </w:r>
    </w:p>
    <w:p>
      <w:pPr>
        <w:pStyle w:val="5"/>
        <w:spacing w:before="312" w:after="62"/>
      </w:pPr>
      <w:r>
        <w:rPr>
          <w:rFonts w:hint="eastAsia"/>
        </w:rPr>
        <w:t>调试效率与部署灵活性</w:t>
      </w:r>
    </w:p>
    <w:p>
      <w:pPr>
        <w:pStyle w:val="3"/>
        <w:spacing w:before="62" w:after="62"/>
        <w:ind w:firstLine="480"/>
      </w:pPr>
      <w:r>
        <w:rPr>
          <w:rFonts w:hint="eastAsia"/>
        </w:rPr>
        <w:t>动态参数调整及模型热加载：置信度阈值通过滑块动态调节，无需重启程序；支持运行时重新加载 YOLO 模型（如更换模型路径情况下）。</w:t>
      </w:r>
    </w:p>
    <w:p>
      <w:pPr>
        <w:pStyle w:val="5"/>
        <w:spacing w:before="312" w:after="62"/>
      </w:pPr>
      <w:r>
        <w:rPr>
          <w:rFonts w:hint="eastAsia"/>
        </w:rPr>
        <w:t>可视化与交互增强</w:t>
      </w:r>
    </w:p>
    <w:p>
      <w:pPr>
        <w:pStyle w:val="3"/>
        <w:spacing w:before="62" w:after="62"/>
        <w:ind w:firstLine="480"/>
      </w:pPr>
      <w:r>
        <w:rPr>
          <w:rFonts w:hint="eastAsia"/>
        </w:rPr>
        <w:t>使用 PyQt5 构建美观 UI，包含：阴影效果、按钮样式优化、分类信息展示（HTML富文本）、统计弹窗（表格化展示类别、数量、置信度）等功能。</w:t>
      </w:r>
    </w:p>
    <w:p>
      <w:pPr>
        <w:pStyle w:val="4"/>
        <w:spacing w:before="468" w:after="93"/>
        <w:rPr>
          <w:color w:val="000000" w:themeColor="text1"/>
          <w14:textFill>
            <w14:solidFill>
              <w14:schemeClr w14:val="tx1"/>
            </w14:solidFill>
          </w14:textFill>
        </w:rPr>
      </w:pPr>
      <w:bookmarkStart w:id="27" w:name="_Toc27440"/>
      <w:r>
        <w:rPr>
          <w:rFonts w:hint="eastAsia"/>
          <w:color w:val="000000" w:themeColor="text1"/>
          <w14:textFill>
            <w14:solidFill>
              <w14:schemeClr w14:val="tx1"/>
            </w14:solidFill>
          </w14:textFill>
        </w:rPr>
        <w:t>作品展望</w:t>
      </w:r>
      <w:bookmarkEnd w:id="27"/>
    </w:p>
    <w:p>
      <w:pPr>
        <w:pStyle w:val="5"/>
        <w:spacing w:before="312" w:after="62"/>
      </w:pPr>
      <w:r>
        <w:rPr>
          <w:rFonts w:hint="eastAsia"/>
        </w:rPr>
        <w:t>日常</w:t>
      </w:r>
      <w:r>
        <w:t>生活</w:t>
      </w:r>
      <w:r>
        <w:rPr>
          <w:rFonts w:hint="eastAsia"/>
        </w:rPr>
        <w:t>普遍适用</w:t>
      </w:r>
    </w:p>
    <w:p>
      <w:pPr>
        <w:pStyle w:val="3"/>
        <w:spacing w:before="62" w:after="62"/>
        <w:ind w:firstLine="480"/>
      </w:pPr>
      <w:r>
        <w:t>垃圾分类是绿色低碳教育体系的重要实践。教育部《绿色低碳发展国民教育体系建设实施方案》明确提出将垃圾分类知识纳入校本课程，通过主题班会、社会实践等形式培养学生的环保意识。然而，实际执行中仍存在分类设施不完善（如北京高校智能垃圾桶覆盖率不足30%）、学生分类依从性低（混投率达30%）等问题。解决方案需结合技术与教育双轮驱动：通过智能识别系统（如基于YOLOv11的校园督导系统）实时监测投放行为并提供反馈。这种技术监管既能解决当前垃圾分类痛点，又能为</w:t>
      </w:r>
      <w:r>
        <w:rPr>
          <w:rFonts w:hint="eastAsia"/>
        </w:rPr>
        <w:t>社会环保减轻压力</w:t>
      </w:r>
      <w:r>
        <w:t>。</w:t>
      </w:r>
    </w:p>
    <w:p>
      <w:pPr>
        <w:pStyle w:val="5"/>
        <w:spacing w:before="312" w:after="62"/>
      </w:pPr>
      <w:r>
        <w:t>低成本</w:t>
      </w:r>
      <w:r>
        <w:rPr>
          <w:rFonts w:hint="eastAsia"/>
        </w:rPr>
        <w:t>，</w:t>
      </w:r>
      <w:r>
        <w:t>边缘计算赋能普惠</w:t>
      </w:r>
      <w:r>
        <w:rPr>
          <w:rFonts w:hint="eastAsia"/>
        </w:rPr>
        <w:t>万家</w:t>
      </w:r>
    </w:p>
    <w:p>
      <w:pPr>
        <w:pStyle w:val="3"/>
        <w:spacing w:before="62" w:after="62"/>
        <w:ind w:firstLine="480"/>
      </w:pPr>
      <w:r>
        <w:t>在</w:t>
      </w:r>
      <w:r>
        <w:rPr>
          <w:rFonts w:hint="eastAsia"/>
        </w:rPr>
        <w:t>生活</w:t>
      </w:r>
      <w:r>
        <w:t>场景中，低成本技术适配至关重要。基于YOLOv11的改进模型参数压缩率达</w:t>
      </w:r>
      <w:r>
        <w:rPr>
          <w:rFonts w:hint="eastAsia"/>
        </w:rPr>
        <w:t>近乎80%</w:t>
      </w:r>
      <w:r>
        <w:t>，可在树莓派等边缘设备实现146FPS推理速度，单设备成本控制在500元内。这种轻量化方案通过多项技术创新实现：采用深度可分离卷积减少参数量，引入Stem模块增强特征提取能力，配合K-means++锚框聚类使高频垃圾（如奶茶杯、快递纸箱）</w:t>
      </w:r>
      <w:r>
        <w:rPr>
          <w:rFonts w:hint="eastAsia"/>
        </w:rPr>
        <w:t>提高</w:t>
      </w:r>
      <w:r>
        <w:t>识别准确率。相较于传统智能分类设备（单台超5万元），该方案成本降低99%的同时，检测精度</w:t>
      </w:r>
      <w:r>
        <w:rPr>
          <w:rFonts w:hint="eastAsia"/>
        </w:rPr>
        <w:t>有效</w:t>
      </w:r>
      <w:r>
        <w:t>提升。这种普惠化技术路径使智能垃圾分类系统可大规模部署于</w:t>
      </w:r>
      <w:r>
        <w:rPr>
          <w:rFonts w:hint="eastAsia"/>
        </w:rPr>
        <w:t>生活</w:t>
      </w:r>
      <w:r>
        <w:t>各</w:t>
      </w:r>
      <w:r>
        <w:rPr>
          <w:rFonts w:hint="eastAsia"/>
        </w:rPr>
        <w:t>方面、角落</w:t>
      </w:r>
      <w:r>
        <w:t>，为资源受限地区提供可复制的解决方案。</w:t>
      </w:r>
    </w:p>
    <w:p>
      <w:pPr>
        <w:pStyle w:val="5"/>
        <w:spacing w:before="312" w:after="62"/>
      </w:pPr>
      <w:r>
        <w:t>市场</w:t>
      </w:r>
      <w:r>
        <w:rPr>
          <w:rFonts w:hint="eastAsia"/>
        </w:rPr>
        <w:t>潜力</w:t>
      </w:r>
      <w:r>
        <w:t xml:space="preserve"> </w:t>
      </w:r>
    </w:p>
    <w:p>
      <w:pPr>
        <w:pStyle w:val="3"/>
        <w:spacing w:before="62" w:after="62"/>
        <w:ind w:firstLine="480"/>
      </w:pPr>
      <w:r>
        <w:t>智能垃圾分类市场呈现爆发式增长，2025年全球机器视觉市场规模预计突破1200亿元，中国智能厨余垃圾桶市场年复合增长率达15%。在</w:t>
      </w:r>
      <w:r>
        <w:rPr>
          <w:rFonts w:hint="eastAsia"/>
        </w:rPr>
        <w:t>日常</w:t>
      </w:r>
      <w:r>
        <w:t>细分场景中，技术方案需兼顾商业价值与社会效益：一方面通过</w:t>
      </w:r>
      <w:r>
        <w:rPr>
          <w:rFonts w:hint="eastAsia"/>
        </w:rPr>
        <w:t>“</w:t>
      </w:r>
      <w:r>
        <w:t>环保积分体系</w:t>
      </w:r>
      <w:r>
        <w:rPr>
          <w:rFonts w:hint="eastAsia"/>
        </w:rPr>
        <w:t>”</w:t>
      </w:r>
      <w:r>
        <w:t>创造经济闭环，如小黄狗智能回收机按投放量返现班级经费；另一方面延伸至智慧生态，</w:t>
      </w:r>
      <w:r>
        <w:rPr>
          <w:rFonts w:hint="eastAsia"/>
        </w:rPr>
        <w:t>可</w:t>
      </w:r>
      <w:r>
        <w:t>与管理系统对接实现垃圾清运量预测（</w:t>
      </w:r>
      <w:r>
        <w:rPr>
          <w:rFonts w:hint="eastAsia"/>
        </w:rPr>
        <w:t>详情可见：</w:t>
      </w:r>
      <w:r>
        <w:t>基于BiLSTM模型的MAPE值</w:t>
      </w:r>
      <w:r>
        <w:rPr>
          <w:rFonts w:hint="eastAsia"/>
        </w:rPr>
        <w:t>报告，此处不单独列出）</w:t>
      </w:r>
      <w:r>
        <w:t>。这种</w:t>
      </w:r>
      <w:r>
        <w:rPr>
          <w:rFonts w:hint="eastAsia"/>
        </w:rPr>
        <w:t>“</w:t>
      </w:r>
      <w:r>
        <w:t>硬件+数据</w:t>
      </w:r>
      <w:r>
        <w:rPr>
          <w:rFonts w:hint="eastAsia"/>
        </w:rPr>
        <w:t>”</w:t>
      </w:r>
      <w:r>
        <w:t>双轮驱动模式既可拓展至社区、交通枢纽等公共场景，又能与碳交易市场衔接</w:t>
      </w:r>
      <w:r>
        <w:rPr>
          <w:rFonts w:hint="eastAsia"/>
        </w:rPr>
        <w:t>，</w:t>
      </w:r>
      <w:r>
        <w:t>形成可持续的商业模式。</w:t>
      </w:r>
    </w:p>
    <w:p>
      <w:pPr>
        <w:pStyle w:val="2"/>
        <w:numPr>
          <w:ilvl w:val="0"/>
          <w:numId w:val="0"/>
        </w:numPr>
        <w:tabs>
          <w:tab w:val="left" w:pos="5112"/>
        </w:tabs>
        <w:spacing w:before="936" w:after="156"/>
      </w:pPr>
      <w:bookmarkStart w:id="28" w:name="_Toc18413"/>
      <w:r>
        <w:rPr>
          <w:rFonts w:hint="eastAsia"/>
        </w:rPr>
        <w:t>参考文献</w:t>
      </w:r>
      <w:bookmarkEnd w:id="28"/>
    </w:p>
    <w:p>
      <w:pPr>
        <w:pStyle w:val="3"/>
        <w:spacing w:before="62" w:after="62"/>
        <w:ind w:firstLine="0" w:firstLineChars="0"/>
      </w:pPr>
      <w:r>
        <w:rPr>
          <w:rFonts w:hint="eastAsia"/>
        </w:rPr>
        <w:t xml:space="preserve">[1] </w:t>
      </w:r>
      <w:r>
        <w:t>石义云,徐金立,刘旭,等.基于微信小程序的垃圾分类检测系统的设计与实现[J].黑龙江科学,2025,16(18):156-158.DOI:CNKI:SUN:HELJ.0.2025-18-039.</w:t>
      </w:r>
    </w:p>
    <w:p>
      <w:pPr>
        <w:pStyle w:val="3"/>
        <w:spacing w:before="62" w:after="62"/>
        <w:ind w:firstLine="0" w:firstLineChars="0"/>
      </w:pPr>
      <w:r>
        <w:rPr>
          <w:rFonts w:hint="eastAsia"/>
        </w:rPr>
        <w:t>[</w:t>
      </w:r>
      <w:r>
        <w:t xml:space="preserve">2] </w:t>
      </w:r>
      <w:r>
        <w:rPr>
          <w:rFonts w:hint="eastAsia"/>
        </w:rPr>
        <w:t>中华人民共和国住房和城乡建设部. 关于加快推进部分重点城市生活垃圾分类工作的通知[EB/OL]. [2017-12-20/2021-01-15].</w:t>
      </w:r>
    </w:p>
    <w:p>
      <w:pPr>
        <w:pStyle w:val="3"/>
        <w:spacing w:before="62" w:after="62"/>
        <w:ind w:firstLine="0" w:firstLineChars="0"/>
        <w:rPr>
          <w:rFonts w:ascii="Segoe UI" w:hAnsi="Segoe UI" w:cs="Segoe UI"/>
          <w:shd w:val="clear" w:color="auto" w:fill="FFFFFF"/>
        </w:rPr>
      </w:pPr>
      <w:r>
        <w:rPr>
          <w:rFonts w:ascii="Segoe UI" w:hAnsi="Segoe UI" w:cs="Segoe UI"/>
          <w:shd w:val="clear" w:color="auto" w:fill="FFFFFF"/>
        </w:rPr>
        <w:t>[3] 中华人民共和国教育部。教育部关于印发《高等学校人工智能创新行动计划》的通知 [Z]. 教技〔2018〕3 号，2018-04-03.</w:t>
      </w:r>
    </w:p>
    <w:p>
      <w:pPr>
        <w:pStyle w:val="3"/>
        <w:spacing w:before="62" w:after="62"/>
        <w:ind w:firstLine="0" w:firstLineChars="0"/>
      </w:pPr>
      <w:r>
        <w:rPr>
          <w:rFonts w:hint="eastAsia"/>
        </w:rPr>
        <w:t>[</w:t>
      </w:r>
      <w:r>
        <w:t>4</w:t>
      </w:r>
      <w:r>
        <w:rPr>
          <w:rFonts w:hint="eastAsia"/>
        </w:rPr>
        <w:t>] 荣英杰. 基于 YOLOv5算法的景区垃圾分类检测研究[J]. 北京交通大学电气工程学院, 2025, 13(7): 13-17.</w:t>
      </w:r>
    </w:p>
    <w:p>
      <w:pPr>
        <w:pStyle w:val="3"/>
        <w:spacing w:before="62" w:after="62"/>
        <w:ind w:firstLine="0" w:firstLineChars="0"/>
      </w:pPr>
      <w:r>
        <w:rPr>
          <w:rFonts w:hint="eastAsia"/>
        </w:rPr>
        <w:t>[</w:t>
      </w:r>
      <w:r>
        <w:t>5</w:t>
      </w:r>
      <w:r>
        <w:rPr>
          <w:rFonts w:hint="eastAsia"/>
        </w:rPr>
        <w:t>] 汪超, 刘晓飞. 基于改进的 YOLOv5s的垃圾分类检测算法[J]. 安庆师范大学计算机与信息学院, 2024, 10(8): 17-21.</w:t>
      </w:r>
    </w:p>
    <w:p>
      <w:pPr>
        <w:pStyle w:val="3"/>
        <w:spacing w:before="62" w:after="62"/>
        <w:ind w:firstLine="0" w:firstLineChars="0"/>
      </w:pPr>
      <w:r>
        <w:rPr>
          <w:rFonts w:hint="eastAsia"/>
        </w:rPr>
        <w:t>[</w:t>
      </w:r>
      <w:r>
        <w:t>6</w:t>
      </w:r>
      <w:r>
        <w:rPr>
          <w:rFonts w:hint="eastAsia"/>
        </w:rPr>
        <w:t>] 陈健松, 蔡艺军. 面向垃圾分类场景的轻量化目标检测方案[J]. 厦门理工学院光电与通信工程学院, 2024, 40(1): 71-77.</w:t>
      </w:r>
    </w:p>
    <w:p>
      <w:pPr>
        <w:pStyle w:val="3"/>
        <w:spacing w:before="62" w:after="62"/>
        <w:ind w:firstLine="0" w:firstLineChars="0"/>
      </w:pPr>
      <w:r>
        <w:rPr>
          <w:rFonts w:hint="eastAsia"/>
        </w:rPr>
        <w:t>[</w:t>
      </w:r>
      <w:r>
        <w:t>7</w:t>
      </w:r>
      <w:r>
        <w:rPr>
          <w:rFonts w:hint="eastAsia"/>
        </w:rPr>
        <w:t>] 欧阳飞, 吴旭, 向东升. 基于改进YOLOX的垃圾分类检测方法[J]. 成都理工大学计算机与网络安全学院, 2023, 24(8): 68-72.</w:t>
      </w:r>
    </w:p>
    <w:p>
      <w:pPr>
        <w:pStyle w:val="3"/>
        <w:spacing w:before="62" w:after="62"/>
        <w:ind w:firstLine="0" w:firstLineChars="0"/>
      </w:pPr>
      <w:r>
        <w:rPr>
          <w:rFonts w:hint="eastAsia"/>
        </w:rPr>
        <w:t>[</w:t>
      </w:r>
      <w:r>
        <w:t>8</w:t>
      </w:r>
      <w:r>
        <w:rPr>
          <w:rFonts w:hint="eastAsia"/>
        </w:rPr>
        <w:t>] 王森, 郭秀娟. 基于YOLOv5算法的垃圾分类检测研究[J]. 吉林建筑大学电气与计算机学院, 2024, 41(4): 84-88.</w:t>
      </w:r>
    </w:p>
    <w:sectPr>
      <w:footerReference r:id="rId3" w:type="default"/>
      <w:pgSz w:w="11906" w:h="16838"/>
      <w:pgMar w:top="1440" w:right="1800" w:bottom="1440" w:left="1800" w:header="851" w:footer="992" w:gutter="0"/>
      <w:pgNumType w:start="1"/>
      <w:cols w:space="425" w:num="2"/>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864841"/>
    </w:sdtPr>
    <w:sdtContent>
      <w:p>
        <w:pPr>
          <w:pStyle w:val="16"/>
          <w:jc w:val="right"/>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pPr>
      <w:pStyle w:val="16"/>
    </w:pPr>
  </w:p>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left="426" w:firstLine="0"/>
      </w:p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284"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9"/>
      <w:lvlText w:val=""/>
      <w:lvlJc w:val="left"/>
      <w:pPr>
        <w:ind w:left="0" w:firstLine="0"/>
      </w:pPr>
      <w:rPr>
        <w:rFonts w:hint="eastAsia"/>
      </w:rPr>
    </w:lvl>
  </w:abstractNum>
  <w:abstractNum w:abstractNumId="1">
    <w:nsid w:val="152E4B0F"/>
    <w:multiLevelType w:val="multilevel"/>
    <w:tmpl w:val="152E4B0F"/>
    <w:lvl w:ilvl="0" w:tentative="0">
      <w:start w:val="1"/>
      <w:numFmt w:val="decimal"/>
      <w:lvlText w:val="（%1）"/>
      <w:lvlJc w:val="left"/>
      <w:pPr>
        <w:ind w:left="723"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1CFF0D1F"/>
    <w:multiLevelType w:val="multilevel"/>
    <w:tmpl w:val="1CFF0D1F"/>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29FC52C2"/>
    <w:multiLevelType w:val="multilevel"/>
    <w:tmpl w:val="29FC52C2"/>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C001D23"/>
    <w:multiLevelType w:val="multilevel"/>
    <w:tmpl w:val="6C001D23"/>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zNmFiZmU4M2YyYzhmODlmNWMyMGQ2MWUxY2ZhZDMifQ=="/>
  </w:docVars>
  <w:rsids>
    <w:rsidRoot w:val="00865588"/>
    <w:rsid w:val="000065CB"/>
    <w:rsid w:val="000067F1"/>
    <w:rsid w:val="00010D4B"/>
    <w:rsid w:val="00011DE8"/>
    <w:rsid w:val="0001305D"/>
    <w:rsid w:val="00022BDA"/>
    <w:rsid w:val="000251C4"/>
    <w:rsid w:val="00031F69"/>
    <w:rsid w:val="00034D0C"/>
    <w:rsid w:val="00045DA6"/>
    <w:rsid w:val="00045F68"/>
    <w:rsid w:val="0005262A"/>
    <w:rsid w:val="00060ADF"/>
    <w:rsid w:val="000708C6"/>
    <w:rsid w:val="0007555A"/>
    <w:rsid w:val="0008034A"/>
    <w:rsid w:val="000811A6"/>
    <w:rsid w:val="00095085"/>
    <w:rsid w:val="00095891"/>
    <w:rsid w:val="000A2719"/>
    <w:rsid w:val="000A725D"/>
    <w:rsid w:val="000B3080"/>
    <w:rsid w:val="000B445B"/>
    <w:rsid w:val="000B56E3"/>
    <w:rsid w:val="000B6AE2"/>
    <w:rsid w:val="000D440C"/>
    <w:rsid w:val="000D575D"/>
    <w:rsid w:val="000D70C7"/>
    <w:rsid w:val="000E2E5F"/>
    <w:rsid w:val="000E4288"/>
    <w:rsid w:val="000F2528"/>
    <w:rsid w:val="000F370A"/>
    <w:rsid w:val="00101087"/>
    <w:rsid w:val="001038DB"/>
    <w:rsid w:val="00110311"/>
    <w:rsid w:val="00114C31"/>
    <w:rsid w:val="0011793D"/>
    <w:rsid w:val="0012213D"/>
    <w:rsid w:val="0012270C"/>
    <w:rsid w:val="00124D65"/>
    <w:rsid w:val="00133A38"/>
    <w:rsid w:val="00137D8F"/>
    <w:rsid w:val="001404C8"/>
    <w:rsid w:val="001420CF"/>
    <w:rsid w:val="001503F3"/>
    <w:rsid w:val="00153211"/>
    <w:rsid w:val="001548BF"/>
    <w:rsid w:val="00167358"/>
    <w:rsid w:val="00167571"/>
    <w:rsid w:val="00167723"/>
    <w:rsid w:val="00172513"/>
    <w:rsid w:val="00174795"/>
    <w:rsid w:val="00177098"/>
    <w:rsid w:val="001814B1"/>
    <w:rsid w:val="0018203C"/>
    <w:rsid w:val="00184039"/>
    <w:rsid w:val="001924C2"/>
    <w:rsid w:val="00192A19"/>
    <w:rsid w:val="00195312"/>
    <w:rsid w:val="001A10C4"/>
    <w:rsid w:val="001A297C"/>
    <w:rsid w:val="001A29BF"/>
    <w:rsid w:val="001A46EC"/>
    <w:rsid w:val="001A6DF3"/>
    <w:rsid w:val="001B5644"/>
    <w:rsid w:val="001B7243"/>
    <w:rsid w:val="001B72F6"/>
    <w:rsid w:val="001C042E"/>
    <w:rsid w:val="001C44F8"/>
    <w:rsid w:val="001C5B2B"/>
    <w:rsid w:val="001D3D7D"/>
    <w:rsid w:val="001E1938"/>
    <w:rsid w:val="001E26F7"/>
    <w:rsid w:val="001E2F14"/>
    <w:rsid w:val="001E4999"/>
    <w:rsid w:val="001E74D3"/>
    <w:rsid w:val="00206D0B"/>
    <w:rsid w:val="00212C1A"/>
    <w:rsid w:val="00212CF7"/>
    <w:rsid w:val="00215B41"/>
    <w:rsid w:val="00221764"/>
    <w:rsid w:val="00224EE8"/>
    <w:rsid w:val="00231A8B"/>
    <w:rsid w:val="00234AAD"/>
    <w:rsid w:val="00234FC3"/>
    <w:rsid w:val="0024077A"/>
    <w:rsid w:val="002408A1"/>
    <w:rsid w:val="0024292A"/>
    <w:rsid w:val="00256E84"/>
    <w:rsid w:val="00257A8C"/>
    <w:rsid w:val="00270888"/>
    <w:rsid w:val="00280450"/>
    <w:rsid w:val="00281566"/>
    <w:rsid w:val="00284B39"/>
    <w:rsid w:val="002907C5"/>
    <w:rsid w:val="002913D0"/>
    <w:rsid w:val="0029372A"/>
    <w:rsid w:val="00295BF8"/>
    <w:rsid w:val="002A39D2"/>
    <w:rsid w:val="002A65CF"/>
    <w:rsid w:val="002B1291"/>
    <w:rsid w:val="002B3E9C"/>
    <w:rsid w:val="002B3EDF"/>
    <w:rsid w:val="002C6202"/>
    <w:rsid w:val="002D3B9F"/>
    <w:rsid w:val="002E493F"/>
    <w:rsid w:val="002F2928"/>
    <w:rsid w:val="002F4568"/>
    <w:rsid w:val="00312E1A"/>
    <w:rsid w:val="00320348"/>
    <w:rsid w:val="0032216C"/>
    <w:rsid w:val="00322F5B"/>
    <w:rsid w:val="003269E8"/>
    <w:rsid w:val="00327631"/>
    <w:rsid w:val="0033305D"/>
    <w:rsid w:val="00335541"/>
    <w:rsid w:val="00337302"/>
    <w:rsid w:val="003607A9"/>
    <w:rsid w:val="00364781"/>
    <w:rsid w:val="003660A0"/>
    <w:rsid w:val="00370E79"/>
    <w:rsid w:val="003712B4"/>
    <w:rsid w:val="00376DF0"/>
    <w:rsid w:val="00377CF8"/>
    <w:rsid w:val="00380C8C"/>
    <w:rsid w:val="0038732A"/>
    <w:rsid w:val="00390B4C"/>
    <w:rsid w:val="003A1A32"/>
    <w:rsid w:val="003A5037"/>
    <w:rsid w:val="003B05D3"/>
    <w:rsid w:val="003B6CE0"/>
    <w:rsid w:val="003D3360"/>
    <w:rsid w:val="003E0ACE"/>
    <w:rsid w:val="003E0C99"/>
    <w:rsid w:val="003E239E"/>
    <w:rsid w:val="003E7565"/>
    <w:rsid w:val="003F27AF"/>
    <w:rsid w:val="00400014"/>
    <w:rsid w:val="00400FDC"/>
    <w:rsid w:val="00401EAF"/>
    <w:rsid w:val="00407A17"/>
    <w:rsid w:val="00411385"/>
    <w:rsid w:val="00420F7C"/>
    <w:rsid w:val="00436707"/>
    <w:rsid w:val="00440D7C"/>
    <w:rsid w:val="004442E7"/>
    <w:rsid w:val="00456B82"/>
    <w:rsid w:val="004618E1"/>
    <w:rsid w:val="00466C3F"/>
    <w:rsid w:val="004754DF"/>
    <w:rsid w:val="00476D1B"/>
    <w:rsid w:val="00482289"/>
    <w:rsid w:val="004874FE"/>
    <w:rsid w:val="004955F7"/>
    <w:rsid w:val="00496830"/>
    <w:rsid w:val="00496DCB"/>
    <w:rsid w:val="004A0ACF"/>
    <w:rsid w:val="004A1C6D"/>
    <w:rsid w:val="004B190E"/>
    <w:rsid w:val="004B7A13"/>
    <w:rsid w:val="004C0963"/>
    <w:rsid w:val="004C3382"/>
    <w:rsid w:val="004C7F18"/>
    <w:rsid w:val="004D2CB4"/>
    <w:rsid w:val="004E094E"/>
    <w:rsid w:val="004E1CA0"/>
    <w:rsid w:val="004E2A9A"/>
    <w:rsid w:val="004E4C20"/>
    <w:rsid w:val="004E4D02"/>
    <w:rsid w:val="004E4DB8"/>
    <w:rsid w:val="004F445C"/>
    <w:rsid w:val="004F6B99"/>
    <w:rsid w:val="00505D22"/>
    <w:rsid w:val="0053506F"/>
    <w:rsid w:val="005455EA"/>
    <w:rsid w:val="005468F7"/>
    <w:rsid w:val="00551CF4"/>
    <w:rsid w:val="00557A05"/>
    <w:rsid w:val="00562AF9"/>
    <w:rsid w:val="00563094"/>
    <w:rsid w:val="00582194"/>
    <w:rsid w:val="00582708"/>
    <w:rsid w:val="00594742"/>
    <w:rsid w:val="005957E1"/>
    <w:rsid w:val="00595DE3"/>
    <w:rsid w:val="00596D03"/>
    <w:rsid w:val="005A1185"/>
    <w:rsid w:val="005B16DC"/>
    <w:rsid w:val="005B2300"/>
    <w:rsid w:val="005C66A0"/>
    <w:rsid w:val="005D137E"/>
    <w:rsid w:val="005D2410"/>
    <w:rsid w:val="005D628B"/>
    <w:rsid w:val="005E12A7"/>
    <w:rsid w:val="005E6E92"/>
    <w:rsid w:val="00601395"/>
    <w:rsid w:val="0060564B"/>
    <w:rsid w:val="006110E6"/>
    <w:rsid w:val="00612C48"/>
    <w:rsid w:val="00615D49"/>
    <w:rsid w:val="00620790"/>
    <w:rsid w:val="006250BE"/>
    <w:rsid w:val="00636113"/>
    <w:rsid w:val="00640EAD"/>
    <w:rsid w:val="006437D2"/>
    <w:rsid w:val="00644C25"/>
    <w:rsid w:val="00646090"/>
    <w:rsid w:val="0065080A"/>
    <w:rsid w:val="006547BF"/>
    <w:rsid w:val="00654FA3"/>
    <w:rsid w:val="0065581A"/>
    <w:rsid w:val="0066142A"/>
    <w:rsid w:val="00664640"/>
    <w:rsid w:val="0066654C"/>
    <w:rsid w:val="00666E95"/>
    <w:rsid w:val="00667AA0"/>
    <w:rsid w:val="00673232"/>
    <w:rsid w:val="006763E5"/>
    <w:rsid w:val="00683478"/>
    <w:rsid w:val="00684E23"/>
    <w:rsid w:val="00686510"/>
    <w:rsid w:val="006920FD"/>
    <w:rsid w:val="00692118"/>
    <w:rsid w:val="006A4916"/>
    <w:rsid w:val="006B72BB"/>
    <w:rsid w:val="006B7F94"/>
    <w:rsid w:val="006C5886"/>
    <w:rsid w:val="006D2700"/>
    <w:rsid w:val="006D330B"/>
    <w:rsid w:val="006D647F"/>
    <w:rsid w:val="006E19AF"/>
    <w:rsid w:val="006F36D1"/>
    <w:rsid w:val="0070338D"/>
    <w:rsid w:val="00706CF4"/>
    <w:rsid w:val="00707E82"/>
    <w:rsid w:val="007154FB"/>
    <w:rsid w:val="00721F3C"/>
    <w:rsid w:val="00723EEA"/>
    <w:rsid w:val="0072412B"/>
    <w:rsid w:val="0072487B"/>
    <w:rsid w:val="00730343"/>
    <w:rsid w:val="00732015"/>
    <w:rsid w:val="00735FCC"/>
    <w:rsid w:val="00742D8C"/>
    <w:rsid w:val="00744B16"/>
    <w:rsid w:val="007462F7"/>
    <w:rsid w:val="00746C7E"/>
    <w:rsid w:val="00746EED"/>
    <w:rsid w:val="007659A1"/>
    <w:rsid w:val="0077224A"/>
    <w:rsid w:val="00772603"/>
    <w:rsid w:val="00773453"/>
    <w:rsid w:val="00783BA5"/>
    <w:rsid w:val="00783EEF"/>
    <w:rsid w:val="00792E6E"/>
    <w:rsid w:val="00794C37"/>
    <w:rsid w:val="007A53D1"/>
    <w:rsid w:val="007B1D65"/>
    <w:rsid w:val="007B1FA2"/>
    <w:rsid w:val="007C363B"/>
    <w:rsid w:val="007C7D7E"/>
    <w:rsid w:val="007D080D"/>
    <w:rsid w:val="007D3F76"/>
    <w:rsid w:val="007E490F"/>
    <w:rsid w:val="007F0DE7"/>
    <w:rsid w:val="007F132A"/>
    <w:rsid w:val="007F1BEE"/>
    <w:rsid w:val="007F47DE"/>
    <w:rsid w:val="007F67A5"/>
    <w:rsid w:val="007F6ECC"/>
    <w:rsid w:val="00800827"/>
    <w:rsid w:val="00802238"/>
    <w:rsid w:val="008060F1"/>
    <w:rsid w:val="008072B9"/>
    <w:rsid w:val="00815321"/>
    <w:rsid w:val="00821063"/>
    <w:rsid w:val="008259E1"/>
    <w:rsid w:val="00826302"/>
    <w:rsid w:val="00844B13"/>
    <w:rsid w:val="00863FC3"/>
    <w:rsid w:val="00865588"/>
    <w:rsid w:val="00872563"/>
    <w:rsid w:val="008857BD"/>
    <w:rsid w:val="00891E39"/>
    <w:rsid w:val="008A229E"/>
    <w:rsid w:val="008A4B83"/>
    <w:rsid w:val="008A6FC7"/>
    <w:rsid w:val="008B2093"/>
    <w:rsid w:val="008B32D2"/>
    <w:rsid w:val="008C0EBF"/>
    <w:rsid w:val="008C6D11"/>
    <w:rsid w:val="008D2341"/>
    <w:rsid w:val="008D7333"/>
    <w:rsid w:val="008D7F63"/>
    <w:rsid w:val="008E1AD2"/>
    <w:rsid w:val="008E3820"/>
    <w:rsid w:val="008E6BA0"/>
    <w:rsid w:val="008F748A"/>
    <w:rsid w:val="00902F4E"/>
    <w:rsid w:val="009073C8"/>
    <w:rsid w:val="00911BA1"/>
    <w:rsid w:val="0091594D"/>
    <w:rsid w:val="0092224D"/>
    <w:rsid w:val="009321FD"/>
    <w:rsid w:val="009328CC"/>
    <w:rsid w:val="009353EE"/>
    <w:rsid w:val="009366CA"/>
    <w:rsid w:val="00937047"/>
    <w:rsid w:val="00946656"/>
    <w:rsid w:val="00954A3D"/>
    <w:rsid w:val="00955D1B"/>
    <w:rsid w:val="00962A8F"/>
    <w:rsid w:val="00976FAE"/>
    <w:rsid w:val="00986EAC"/>
    <w:rsid w:val="009954DF"/>
    <w:rsid w:val="0099550D"/>
    <w:rsid w:val="009A285F"/>
    <w:rsid w:val="009B4163"/>
    <w:rsid w:val="009B7826"/>
    <w:rsid w:val="009C4297"/>
    <w:rsid w:val="009D40F5"/>
    <w:rsid w:val="009D72B3"/>
    <w:rsid w:val="009E4673"/>
    <w:rsid w:val="009E524F"/>
    <w:rsid w:val="009F1B59"/>
    <w:rsid w:val="009F5CAA"/>
    <w:rsid w:val="009F5FF7"/>
    <w:rsid w:val="009F77C0"/>
    <w:rsid w:val="00A06C12"/>
    <w:rsid w:val="00A10DB2"/>
    <w:rsid w:val="00A10FE3"/>
    <w:rsid w:val="00A1129F"/>
    <w:rsid w:val="00A14249"/>
    <w:rsid w:val="00A15E17"/>
    <w:rsid w:val="00A178DF"/>
    <w:rsid w:val="00A2458E"/>
    <w:rsid w:val="00A3029B"/>
    <w:rsid w:val="00A328BA"/>
    <w:rsid w:val="00A34362"/>
    <w:rsid w:val="00A3635B"/>
    <w:rsid w:val="00A40DA9"/>
    <w:rsid w:val="00A42116"/>
    <w:rsid w:val="00A43107"/>
    <w:rsid w:val="00A52C68"/>
    <w:rsid w:val="00A55634"/>
    <w:rsid w:val="00A55868"/>
    <w:rsid w:val="00A558A3"/>
    <w:rsid w:val="00A56731"/>
    <w:rsid w:val="00A6356E"/>
    <w:rsid w:val="00A65783"/>
    <w:rsid w:val="00A668A3"/>
    <w:rsid w:val="00A73742"/>
    <w:rsid w:val="00A831FF"/>
    <w:rsid w:val="00A935B2"/>
    <w:rsid w:val="00A97478"/>
    <w:rsid w:val="00AA3060"/>
    <w:rsid w:val="00AB2AA3"/>
    <w:rsid w:val="00AB5765"/>
    <w:rsid w:val="00AB5EB6"/>
    <w:rsid w:val="00AC4401"/>
    <w:rsid w:val="00AD2E5E"/>
    <w:rsid w:val="00AE29AE"/>
    <w:rsid w:val="00AE5CBD"/>
    <w:rsid w:val="00AF06DB"/>
    <w:rsid w:val="00AF1E85"/>
    <w:rsid w:val="00AF484A"/>
    <w:rsid w:val="00B014B0"/>
    <w:rsid w:val="00B04769"/>
    <w:rsid w:val="00B05A5D"/>
    <w:rsid w:val="00B077E7"/>
    <w:rsid w:val="00B40CAE"/>
    <w:rsid w:val="00B4166B"/>
    <w:rsid w:val="00B41F32"/>
    <w:rsid w:val="00B446F6"/>
    <w:rsid w:val="00B479FD"/>
    <w:rsid w:val="00B55125"/>
    <w:rsid w:val="00B55F10"/>
    <w:rsid w:val="00B56D27"/>
    <w:rsid w:val="00B736B6"/>
    <w:rsid w:val="00B82408"/>
    <w:rsid w:val="00B859F6"/>
    <w:rsid w:val="00B90A4F"/>
    <w:rsid w:val="00B92DC7"/>
    <w:rsid w:val="00BB0FFF"/>
    <w:rsid w:val="00BB2AAA"/>
    <w:rsid w:val="00BB50C2"/>
    <w:rsid w:val="00BB5A70"/>
    <w:rsid w:val="00BC3327"/>
    <w:rsid w:val="00BC4877"/>
    <w:rsid w:val="00BC7CE5"/>
    <w:rsid w:val="00BD0478"/>
    <w:rsid w:val="00BD1490"/>
    <w:rsid w:val="00BD4E1F"/>
    <w:rsid w:val="00BD704F"/>
    <w:rsid w:val="00BE1888"/>
    <w:rsid w:val="00BE1FF6"/>
    <w:rsid w:val="00BE35D8"/>
    <w:rsid w:val="00BF6122"/>
    <w:rsid w:val="00C13C52"/>
    <w:rsid w:val="00C14587"/>
    <w:rsid w:val="00C15F2B"/>
    <w:rsid w:val="00C16014"/>
    <w:rsid w:val="00C16B04"/>
    <w:rsid w:val="00C20945"/>
    <w:rsid w:val="00C20E72"/>
    <w:rsid w:val="00C237A9"/>
    <w:rsid w:val="00C254FC"/>
    <w:rsid w:val="00C4242C"/>
    <w:rsid w:val="00C45294"/>
    <w:rsid w:val="00C529C6"/>
    <w:rsid w:val="00C531E9"/>
    <w:rsid w:val="00C55514"/>
    <w:rsid w:val="00C566F5"/>
    <w:rsid w:val="00C60318"/>
    <w:rsid w:val="00C60348"/>
    <w:rsid w:val="00C67A94"/>
    <w:rsid w:val="00C72EB9"/>
    <w:rsid w:val="00C72F2E"/>
    <w:rsid w:val="00C7506A"/>
    <w:rsid w:val="00C7539D"/>
    <w:rsid w:val="00C77EA6"/>
    <w:rsid w:val="00C817EF"/>
    <w:rsid w:val="00C84511"/>
    <w:rsid w:val="00C90FE2"/>
    <w:rsid w:val="00C93E38"/>
    <w:rsid w:val="00C95059"/>
    <w:rsid w:val="00CA06AE"/>
    <w:rsid w:val="00CA32B7"/>
    <w:rsid w:val="00CA45CC"/>
    <w:rsid w:val="00CA4721"/>
    <w:rsid w:val="00CB5B08"/>
    <w:rsid w:val="00CC2386"/>
    <w:rsid w:val="00CC3D8F"/>
    <w:rsid w:val="00CD56C8"/>
    <w:rsid w:val="00CE13AD"/>
    <w:rsid w:val="00CE27E7"/>
    <w:rsid w:val="00CE352E"/>
    <w:rsid w:val="00CE518B"/>
    <w:rsid w:val="00CF0820"/>
    <w:rsid w:val="00CF1AF6"/>
    <w:rsid w:val="00CF2082"/>
    <w:rsid w:val="00CF43AD"/>
    <w:rsid w:val="00CF6EF8"/>
    <w:rsid w:val="00CF755D"/>
    <w:rsid w:val="00D06EE6"/>
    <w:rsid w:val="00D21E55"/>
    <w:rsid w:val="00D238A1"/>
    <w:rsid w:val="00D2569D"/>
    <w:rsid w:val="00D31357"/>
    <w:rsid w:val="00D364C4"/>
    <w:rsid w:val="00D41917"/>
    <w:rsid w:val="00D42843"/>
    <w:rsid w:val="00D42B6A"/>
    <w:rsid w:val="00D508EA"/>
    <w:rsid w:val="00D53A6B"/>
    <w:rsid w:val="00D60F16"/>
    <w:rsid w:val="00D62047"/>
    <w:rsid w:val="00D6249D"/>
    <w:rsid w:val="00D64209"/>
    <w:rsid w:val="00D67955"/>
    <w:rsid w:val="00D73A85"/>
    <w:rsid w:val="00D77143"/>
    <w:rsid w:val="00D86434"/>
    <w:rsid w:val="00DA12E4"/>
    <w:rsid w:val="00DA4D13"/>
    <w:rsid w:val="00DB1AFC"/>
    <w:rsid w:val="00DB2892"/>
    <w:rsid w:val="00DB7C45"/>
    <w:rsid w:val="00DC170A"/>
    <w:rsid w:val="00DC2E6D"/>
    <w:rsid w:val="00DC5271"/>
    <w:rsid w:val="00DD6945"/>
    <w:rsid w:val="00DE3180"/>
    <w:rsid w:val="00DE5C62"/>
    <w:rsid w:val="00DE6E5D"/>
    <w:rsid w:val="00E040AA"/>
    <w:rsid w:val="00E1059D"/>
    <w:rsid w:val="00E3002A"/>
    <w:rsid w:val="00E320E2"/>
    <w:rsid w:val="00E3212C"/>
    <w:rsid w:val="00E36FCE"/>
    <w:rsid w:val="00E41020"/>
    <w:rsid w:val="00E430DC"/>
    <w:rsid w:val="00E51AFE"/>
    <w:rsid w:val="00E52A82"/>
    <w:rsid w:val="00E52FE2"/>
    <w:rsid w:val="00E53CD0"/>
    <w:rsid w:val="00E57824"/>
    <w:rsid w:val="00E63AC0"/>
    <w:rsid w:val="00E812F2"/>
    <w:rsid w:val="00E90B86"/>
    <w:rsid w:val="00E913B0"/>
    <w:rsid w:val="00E9446C"/>
    <w:rsid w:val="00E96412"/>
    <w:rsid w:val="00EA215F"/>
    <w:rsid w:val="00EA5269"/>
    <w:rsid w:val="00EC49CC"/>
    <w:rsid w:val="00EC5A41"/>
    <w:rsid w:val="00EC7255"/>
    <w:rsid w:val="00EC7493"/>
    <w:rsid w:val="00EC79A2"/>
    <w:rsid w:val="00ED0CA0"/>
    <w:rsid w:val="00ED2717"/>
    <w:rsid w:val="00ED6C0C"/>
    <w:rsid w:val="00EE6573"/>
    <w:rsid w:val="00EE65E1"/>
    <w:rsid w:val="00EF0CC7"/>
    <w:rsid w:val="00EF1B8D"/>
    <w:rsid w:val="00F00824"/>
    <w:rsid w:val="00F11BB5"/>
    <w:rsid w:val="00F14530"/>
    <w:rsid w:val="00F24DBB"/>
    <w:rsid w:val="00F25B4D"/>
    <w:rsid w:val="00F3201C"/>
    <w:rsid w:val="00F43823"/>
    <w:rsid w:val="00F47375"/>
    <w:rsid w:val="00F476EE"/>
    <w:rsid w:val="00F703C2"/>
    <w:rsid w:val="00F74CB2"/>
    <w:rsid w:val="00F768BA"/>
    <w:rsid w:val="00F82B76"/>
    <w:rsid w:val="00F834D3"/>
    <w:rsid w:val="00F93755"/>
    <w:rsid w:val="00F9602D"/>
    <w:rsid w:val="00F96902"/>
    <w:rsid w:val="00F96D76"/>
    <w:rsid w:val="00FB1AD2"/>
    <w:rsid w:val="00FC02B0"/>
    <w:rsid w:val="00FC02FB"/>
    <w:rsid w:val="00FC4CDF"/>
    <w:rsid w:val="00FC56B9"/>
    <w:rsid w:val="00FD18BE"/>
    <w:rsid w:val="00FD5862"/>
    <w:rsid w:val="00FD6290"/>
    <w:rsid w:val="00FF4ACC"/>
    <w:rsid w:val="00FF601A"/>
    <w:rsid w:val="00FF6C69"/>
    <w:rsid w:val="05AE7C50"/>
    <w:rsid w:val="065018E2"/>
    <w:rsid w:val="0A554F53"/>
    <w:rsid w:val="0C6A4AB6"/>
    <w:rsid w:val="0E5F0FD6"/>
    <w:rsid w:val="1032785A"/>
    <w:rsid w:val="118B5473"/>
    <w:rsid w:val="177806CA"/>
    <w:rsid w:val="17E44D63"/>
    <w:rsid w:val="1AD559B1"/>
    <w:rsid w:val="1DA17B19"/>
    <w:rsid w:val="2E8E7EF9"/>
    <w:rsid w:val="32105BC2"/>
    <w:rsid w:val="41852ADF"/>
    <w:rsid w:val="42276243"/>
    <w:rsid w:val="43C55D14"/>
    <w:rsid w:val="466C0C2C"/>
    <w:rsid w:val="47596E9F"/>
    <w:rsid w:val="48187005"/>
    <w:rsid w:val="4CFB27A6"/>
    <w:rsid w:val="54057287"/>
    <w:rsid w:val="5BAE1417"/>
    <w:rsid w:val="5EFB64A5"/>
    <w:rsid w:val="60E8620D"/>
    <w:rsid w:val="65D10B2F"/>
    <w:rsid w:val="6E241146"/>
    <w:rsid w:val="7071126E"/>
    <w:rsid w:val="71752277"/>
    <w:rsid w:val="761B648F"/>
    <w:rsid w:val="795E6047"/>
    <w:rsid w:val="79835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9"/>
    <w:qFormat/>
    <w:uiPriority w:val="9"/>
    <w:pPr>
      <w:keepNext/>
      <w:keepLines/>
      <w:numPr>
        <w:ilvl w:val="0"/>
        <w:numId w:val="1"/>
      </w:numPr>
      <w:topLinePunct/>
      <w:adjustRightInd w:val="0"/>
      <w:snapToGrid w:val="0"/>
      <w:spacing w:before="300" w:beforeLines="300" w:after="50" w:afterLines="50" w:line="360" w:lineRule="auto"/>
      <w:ind w:left="0"/>
      <w:outlineLvl w:val="0"/>
    </w:pPr>
    <w:rPr>
      <w:rFonts w:ascii="Arial" w:hAnsi="Arial" w:eastAsia="黑体"/>
      <w:bCs/>
      <w:kern w:val="44"/>
      <w:sz w:val="36"/>
      <w:szCs w:val="44"/>
      <w:lang w:val="zh-CN"/>
    </w:rPr>
  </w:style>
  <w:style w:type="paragraph" w:styleId="4">
    <w:name w:val="heading 2"/>
    <w:basedOn w:val="1"/>
    <w:next w:val="3"/>
    <w:link w:val="34"/>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5"/>
    <w:unhideWhenUsed/>
    <w:qFormat/>
    <w:uiPriority w:val="9"/>
    <w:pPr>
      <w:keepNext/>
      <w:keepLines/>
      <w:numPr>
        <w:ilvl w:val="2"/>
        <w:numId w:val="1"/>
      </w:numPr>
      <w:topLinePunct/>
      <w:adjustRightInd w:val="0"/>
      <w:snapToGrid w:val="0"/>
      <w:spacing w:before="100" w:beforeLines="100" w:after="20" w:afterLines="20" w:line="360" w:lineRule="auto"/>
      <w:ind w:left="0"/>
      <w:outlineLvl w:val="2"/>
    </w:pPr>
    <w:rPr>
      <w:rFonts w:ascii="Arial" w:hAnsi="Arial" w:eastAsia="黑体"/>
      <w:bCs/>
      <w:sz w:val="28"/>
      <w:szCs w:val="32"/>
    </w:rPr>
  </w:style>
  <w:style w:type="paragraph" w:styleId="6">
    <w:name w:val="heading 4"/>
    <w:basedOn w:val="1"/>
    <w:next w:val="3"/>
    <w:link w:val="36"/>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7"/>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8"/>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9"/>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40"/>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41"/>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annotation text"/>
    <w:basedOn w:val="1"/>
    <w:link w:val="44"/>
    <w:unhideWhenUsed/>
    <w:qFormat/>
    <w:uiPriority w:val="99"/>
    <w:pPr>
      <w:jc w:val="left"/>
    </w:pPr>
  </w:style>
  <w:style w:type="paragraph" w:styleId="14">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5">
    <w:name w:val="Balloon Text"/>
    <w:basedOn w:val="1"/>
    <w:link w:val="33"/>
    <w:semiHidden/>
    <w:unhideWhenUsed/>
    <w:qFormat/>
    <w:uiPriority w:val="99"/>
    <w:rPr>
      <w:sz w:val="18"/>
      <w:szCs w:val="18"/>
    </w:rPr>
  </w:style>
  <w:style w:type="paragraph" w:styleId="16">
    <w:name w:val="footer"/>
    <w:basedOn w:val="1"/>
    <w:link w:val="32"/>
    <w:unhideWhenUsed/>
    <w:qFormat/>
    <w:uiPriority w:val="99"/>
    <w:pPr>
      <w:tabs>
        <w:tab w:val="center" w:pos="4153"/>
        <w:tab w:val="right" w:pos="8306"/>
      </w:tabs>
      <w:snapToGrid w:val="0"/>
      <w:jc w:val="left"/>
    </w:pPr>
    <w:rPr>
      <w:sz w:val="18"/>
      <w:szCs w:val="18"/>
    </w:rPr>
  </w:style>
  <w:style w:type="paragraph" w:styleId="17">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9">
    <w:name w:val="index 9"/>
    <w:basedOn w:val="1"/>
    <w:next w:val="1"/>
    <w:semiHidden/>
    <w:unhideWhenUsed/>
    <w:qFormat/>
    <w:uiPriority w:val="99"/>
    <w:pPr>
      <w:numPr>
        <w:ilvl w:val="8"/>
        <w:numId w:val="1"/>
      </w:numPr>
    </w:pPr>
  </w:style>
  <w:style w:type="paragraph" w:styleId="20">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21">
    <w:name w:val="annotation subject"/>
    <w:basedOn w:val="13"/>
    <w:next w:val="13"/>
    <w:link w:val="45"/>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Hyperlink"/>
    <w:basedOn w:val="24"/>
    <w:unhideWhenUsed/>
    <w:qFormat/>
    <w:uiPriority w:val="99"/>
    <w:rPr>
      <w:color w:val="0000FF"/>
      <w:u w:val="single"/>
    </w:rPr>
  </w:style>
  <w:style w:type="character" w:styleId="27">
    <w:name w:val="annotation reference"/>
    <w:basedOn w:val="24"/>
    <w:semiHidden/>
    <w:unhideWhenUsed/>
    <w:qFormat/>
    <w:uiPriority w:val="99"/>
    <w:rPr>
      <w:sz w:val="21"/>
      <w:szCs w:val="21"/>
    </w:rPr>
  </w:style>
  <w:style w:type="paragraph" w:styleId="28">
    <w:name w:val="List Paragraph"/>
    <w:basedOn w:val="1"/>
    <w:qFormat/>
    <w:uiPriority w:val="34"/>
    <w:pPr>
      <w:ind w:firstLine="420" w:firstLineChars="200"/>
    </w:pPr>
  </w:style>
  <w:style w:type="character" w:customStyle="1" w:styleId="29">
    <w:name w:val="标题 1 字符"/>
    <w:basedOn w:val="24"/>
    <w:link w:val="2"/>
    <w:qFormat/>
    <w:uiPriority w:val="9"/>
    <w:rPr>
      <w:rFonts w:ascii="Arial" w:hAnsi="Arial" w:eastAsia="黑体" w:cstheme="minorBidi"/>
      <w:bCs/>
      <w:kern w:val="44"/>
      <w:sz w:val="36"/>
      <w:szCs w:val="44"/>
      <w:lang w:val="zh-CN"/>
    </w:r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31">
    <w:name w:val="页眉 字符"/>
    <w:basedOn w:val="24"/>
    <w:link w:val="17"/>
    <w:qFormat/>
    <w:uiPriority w:val="99"/>
    <w:rPr>
      <w:sz w:val="18"/>
      <w:szCs w:val="18"/>
    </w:rPr>
  </w:style>
  <w:style w:type="character" w:customStyle="1" w:styleId="32">
    <w:name w:val="页脚 字符"/>
    <w:basedOn w:val="24"/>
    <w:link w:val="16"/>
    <w:qFormat/>
    <w:uiPriority w:val="99"/>
    <w:rPr>
      <w:sz w:val="18"/>
      <w:szCs w:val="18"/>
    </w:rPr>
  </w:style>
  <w:style w:type="character" w:customStyle="1" w:styleId="33">
    <w:name w:val="批注框文本 字符"/>
    <w:basedOn w:val="24"/>
    <w:link w:val="15"/>
    <w:semiHidden/>
    <w:qFormat/>
    <w:uiPriority w:val="99"/>
    <w:rPr>
      <w:sz w:val="18"/>
      <w:szCs w:val="18"/>
    </w:rPr>
  </w:style>
  <w:style w:type="character" w:customStyle="1" w:styleId="34">
    <w:name w:val="标题 2 字符"/>
    <w:basedOn w:val="24"/>
    <w:link w:val="4"/>
    <w:qFormat/>
    <w:uiPriority w:val="9"/>
    <w:rPr>
      <w:rFonts w:ascii="Arial" w:hAnsi="Arial" w:eastAsia="黑体" w:cstheme="majorBidi"/>
      <w:bCs/>
      <w:kern w:val="2"/>
      <w:sz w:val="30"/>
      <w:szCs w:val="32"/>
    </w:rPr>
  </w:style>
  <w:style w:type="character" w:customStyle="1" w:styleId="35">
    <w:name w:val="标题 3 字符"/>
    <w:basedOn w:val="24"/>
    <w:link w:val="5"/>
    <w:qFormat/>
    <w:uiPriority w:val="9"/>
    <w:rPr>
      <w:rFonts w:ascii="Arial" w:hAnsi="Arial" w:eastAsia="黑体" w:cstheme="minorBidi"/>
      <w:bCs/>
      <w:kern w:val="2"/>
      <w:sz w:val="28"/>
      <w:szCs w:val="32"/>
    </w:rPr>
  </w:style>
  <w:style w:type="character" w:customStyle="1" w:styleId="36">
    <w:name w:val="标题 4 字符"/>
    <w:basedOn w:val="24"/>
    <w:link w:val="6"/>
    <w:qFormat/>
    <w:uiPriority w:val="9"/>
    <w:rPr>
      <w:rFonts w:ascii="Arial" w:hAnsi="Arial" w:eastAsia="黑体" w:cstheme="majorBidi"/>
      <w:bCs/>
      <w:kern w:val="2"/>
      <w:sz w:val="24"/>
      <w:szCs w:val="28"/>
    </w:rPr>
  </w:style>
  <w:style w:type="character" w:customStyle="1" w:styleId="37">
    <w:name w:val="标题 5 字符"/>
    <w:basedOn w:val="24"/>
    <w:link w:val="7"/>
    <w:qFormat/>
    <w:uiPriority w:val="9"/>
    <w:rPr>
      <w:rFonts w:ascii="Arial" w:hAnsi="Arial" w:eastAsia="黑体" w:cstheme="minorBidi"/>
      <w:bCs/>
      <w:kern w:val="2"/>
      <w:sz w:val="24"/>
      <w:szCs w:val="28"/>
    </w:rPr>
  </w:style>
  <w:style w:type="character" w:customStyle="1" w:styleId="38">
    <w:name w:val="标题 6 字符"/>
    <w:basedOn w:val="24"/>
    <w:link w:val="8"/>
    <w:qFormat/>
    <w:uiPriority w:val="9"/>
    <w:rPr>
      <w:rFonts w:ascii="Arial" w:hAnsi="Arial" w:eastAsia="黑体" w:cstheme="majorBidi"/>
      <w:bCs/>
      <w:kern w:val="2"/>
      <w:sz w:val="24"/>
      <w:szCs w:val="24"/>
    </w:rPr>
  </w:style>
  <w:style w:type="character" w:customStyle="1" w:styleId="39">
    <w:name w:val="标题 7 字符"/>
    <w:basedOn w:val="24"/>
    <w:link w:val="9"/>
    <w:qFormat/>
    <w:uiPriority w:val="9"/>
    <w:rPr>
      <w:rFonts w:ascii="Arial" w:hAnsi="Arial" w:eastAsia="黑体" w:cstheme="minorBidi"/>
      <w:bCs/>
      <w:kern w:val="2"/>
      <w:sz w:val="24"/>
      <w:szCs w:val="24"/>
    </w:rPr>
  </w:style>
  <w:style w:type="character" w:customStyle="1" w:styleId="40">
    <w:name w:val="标题 8 字符"/>
    <w:basedOn w:val="24"/>
    <w:link w:val="10"/>
    <w:qFormat/>
    <w:uiPriority w:val="9"/>
    <w:rPr>
      <w:rFonts w:ascii="Arial" w:hAnsi="Arial" w:eastAsia="黑体" w:cstheme="majorBidi"/>
      <w:kern w:val="2"/>
      <w:sz w:val="24"/>
      <w:szCs w:val="24"/>
    </w:rPr>
  </w:style>
  <w:style w:type="character" w:customStyle="1" w:styleId="41">
    <w:name w:val="标题 9 字符"/>
    <w:basedOn w:val="24"/>
    <w:link w:val="11"/>
    <w:qFormat/>
    <w:uiPriority w:val="9"/>
    <w:rPr>
      <w:rFonts w:ascii="Arial" w:hAnsi="Arial" w:eastAsia="黑体" w:cstheme="majorBidi"/>
      <w:sz w:val="24"/>
      <w:szCs w:val="21"/>
    </w:rPr>
  </w:style>
  <w:style w:type="paragraph" w:customStyle="1" w:styleId="42">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3">
    <w:name w:val="图表段落"/>
    <w:basedOn w:val="3"/>
    <w:qFormat/>
    <w:uiPriority w:val="0"/>
    <w:pPr>
      <w:spacing w:before="30" w:beforeLines="30" w:after="30" w:afterLines="30" w:line="240" w:lineRule="auto"/>
      <w:ind w:firstLine="0" w:firstLineChars="0"/>
      <w:jc w:val="center"/>
    </w:pPr>
  </w:style>
  <w:style w:type="character" w:customStyle="1" w:styleId="44">
    <w:name w:val="批注文字 字符"/>
    <w:basedOn w:val="24"/>
    <w:link w:val="13"/>
    <w:qFormat/>
    <w:uiPriority w:val="99"/>
    <w:rPr>
      <w:kern w:val="2"/>
      <w:sz w:val="21"/>
      <w:szCs w:val="22"/>
    </w:rPr>
  </w:style>
  <w:style w:type="character" w:customStyle="1" w:styleId="45">
    <w:name w:val="批注主题 字符"/>
    <w:basedOn w:val="44"/>
    <w:link w:val="21"/>
    <w:semiHidden/>
    <w:qFormat/>
    <w:uiPriority w:val="99"/>
    <w:rPr>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er" Target="footer1.xml"/><Relationship Id="rId29" Type="http://schemas.microsoft.com/office/2006/relationships/keyMapCustomizations" Target="customizations.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51824-3BAD-4B45-A9B7-E6CBBF383C43}">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10818</Words>
  <Characters>12896</Characters>
  <Lines>109</Lines>
  <Paragraphs>30</Paragraphs>
  <TotalTime>5</TotalTime>
  <ScaleCrop>false</ScaleCrop>
  <LinksUpToDate>false</LinksUpToDate>
  <CharactersWithSpaces>13331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2025-04-09T08:17:00Z</dcterms:created>
  <dc:creator>dengxifeng@pku.edu.cn</dc:creator>
  <cp:lastModifiedBy>WPS_1645182081</cp:lastModifiedBy>
  <cp:lastPrinted>2019-04-15T06:27:00Z</cp:lastPrinted>
  <dcterms:modified xsi:type="dcterms:W3CDTF">2025-10-28T08:25:44Z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eyJoZGlkIjoiZDMyNjVhZjYwNzYzODkxMDU0MjQ0NmIzNWMyZTdlNjEiLCJ1c2VySWQiOiIxNDY3Nzk3OTM1In0=</vt:lpwstr>
  </property>
  <property fmtid="{D5CDD505-2E9C-101B-9397-08002B2CF9AE}" pid="3" name="KSOProductBuildVer">
    <vt:lpwstr>2052-11.1.0.12165</vt:lpwstr>
  </property>
  <property fmtid="{D5CDD505-2E9C-101B-9397-08002B2CF9AE}" pid="4" name="ICV">
    <vt:lpwstr>F7F86DCD13A44C7695E494A724513530</vt:lpwstr>
  </property>
</Properties>
</file>