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Распределение вычислительной нагрузки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540"/>
        <w:jc w:val="both"/>
        <w:rPr/>
      </w:pPr>
      <w:r>
        <w:rPr>
          <w:b/>
          <w:u w:val="single"/>
        </w:rPr>
        <w:t>Цель:</w:t>
      </w:r>
      <w:r>
        <w:rPr/>
        <w:t xml:space="preserve"> изучить основные особенности распределения вычислительной нагрузки в </w:t>
      </w:r>
      <w:r>
        <w:rPr>
          <w:lang w:val="en-US"/>
        </w:rPr>
        <w:t>OpenMP</w:t>
      </w:r>
      <w:r>
        <w:rPr/>
        <w:t xml:space="preserve"> на примере использования в рамках языка С++.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Для получения </w:t>
      </w:r>
      <w:r>
        <w:rPr>
          <w:b/>
          <w:u w:val="single"/>
        </w:rPr>
        <w:t>теоретических сведений</w:t>
      </w:r>
      <w:r>
        <w:rPr>
          <w:b/>
        </w:rPr>
        <w:t xml:space="preserve"> </w:t>
      </w:r>
      <w:r>
        <w:rPr/>
        <w:t>настоятельно рекомендуется при домашней подготовке изучить материалы, представленные в списке литературы в конце разработки, а также прочие материалы по тематике лабораторной работы, представленные в открытых источниках.</w:t>
      </w:r>
    </w:p>
    <w:p>
      <w:pPr>
        <w:pStyle w:val="Normal"/>
        <w:ind w:firstLine="540"/>
        <w:jc w:val="both"/>
        <w:rPr/>
      </w:pPr>
      <w:r>
        <w:rPr/>
        <w:t>Далее следует краткий конспект материала, приведенного в данных источниках, в конце включающий короткие примеры фрагментов программ.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bookmarkStart w:id="0" w:name="sect19"/>
      <w:bookmarkStart w:id="1" w:name="sect18"/>
      <w:bookmarkStart w:id="2" w:name="sect7"/>
      <w:bookmarkEnd w:id="0"/>
      <w:bookmarkEnd w:id="1"/>
      <w:bookmarkEnd w:id="2"/>
      <w:r>
        <w:rPr>
          <w:b/>
        </w:rPr>
        <w:t>1. Распределение вычислительной нагрузки между потоками (распараллеливание по задачам при помощи директивы sections)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Широко встречающейся является ситуация, когда для решения задачи необходимо выполнить разные процедуры, которые или полностью не зависят друг от друга, или являются слабо связанными. Такие процедуры можно выполнить параллельно; такой подход именуется распараллеливанием по задачам. Для этого в OpenMP для параллельного фрагмента программы, можно выделять параллельно выполняемые программные секции (директива sections).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Формат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sections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имеет вид: 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>#pragma omp sections [&lt;</w:t>
      </w:r>
      <w:r>
        <w:rPr>
          <w:rFonts w:cs="Times New Roman" w:ascii="Times New Roman" w:hAnsi="Times New Roman"/>
          <w:sz w:val="24"/>
          <w:szCs w:val="24"/>
        </w:rPr>
        <w:t>параметр</w:t>
      </w:r>
      <w:r>
        <w:rPr>
          <w:rFonts w:cs="Times New Roman" w:ascii="Times New Roman" w:hAnsi="Times New Roman"/>
          <w:sz w:val="24"/>
          <w:szCs w:val="24"/>
          <w:lang w:val="fr-FR"/>
        </w:rPr>
        <w:t>&gt; ...]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{ 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fr-FR"/>
        </w:rPr>
        <w:t xml:space="preserve">#pragma omp section </w:t>
      </w:r>
    </w:p>
    <w:p>
      <w:pPr>
        <w:pStyle w:val="HTM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&lt;блок_программы&gt;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#pragma omp section 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&lt;блок_программы&gt;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3" w:name="image.4.6"/>
      <w:bookmarkStart w:id="4" w:name="image.4.6"/>
      <w:bookmarkEnd w:id="4"/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 помощи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sections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выделяется программный код, который далее будет разделен на параллельно выполняемые секции.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section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определяют секции, которые могут быть выполнены параллельно (для первой по порядку секции директива section не является обязательной).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зависимости от взаимного сочетания количества потоков и количества определяемых секций, каждый поток может выполнить одну или несколько секций (вместе с тем, при малом количестве секций некоторые потоки могут оказаться без секций и окажутся незагруженными). Использование секций достаточно сложно поддается масштабированию (настройке на число имеющихся потоков). Кроме того, </w:t>
      </w:r>
      <w:r>
        <w:rPr>
          <w:rFonts w:cs="Times New Roman" w:ascii="Times New Roman" w:hAnsi="Times New Roman"/>
          <w:color w:val="000000"/>
          <w:sz w:val="24"/>
          <w:szCs w:val="24"/>
          <w:u w:val="single"/>
        </w:rPr>
        <w:t>в соответствии со стандартом, порядок выполнения программных секций не определен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качестве параметров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sections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могут использоваться: </w:t>
      </w:r>
    </w:p>
    <w:p>
      <w:pPr>
        <w:pStyle w:val="Normal"/>
        <w:jc w:val="both"/>
        <w:rPr>
          <w:lang w:val="en-US"/>
        </w:rPr>
      </w:pPr>
      <w:r>
        <w:rPr>
          <w:rStyle w:val="Texample1"/>
          <w:lang w:val="en-US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  <w:lang w:val="en-US"/>
        </w:rPr>
        <w:t>private</w:t>
      </w:r>
      <w:r>
        <w:rPr>
          <w:lang w:val="en-US"/>
        </w:rPr>
        <w:t xml:space="preserve"> (list)</w:t>
      </w:r>
    </w:p>
    <w:p>
      <w:pPr>
        <w:pStyle w:val="Normal"/>
        <w:jc w:val="both"/>
        <w:rPr>
          <w:lang w:val="en-US"/>
        </w:rPr>
      </w:pPr>
      <w:r>
        <w:rPr>
          <w:rStyle w:val="Texample1"/>
          <w:lang w:val="en-US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  <w:lang w:val="en-US"/>
        </w:rPr>
        <w:t>firstprivate</w:t>
      </w:r>
      <w:r>
        <w:rPr>
          <w:lang w:val="en-US"/>
        </w:rPr>
        <w:t xml:space="preserve"> (list)</w:t>
      </w:r>
    </w:p>
    <w:p>
      <w:pPr>
        <w:pStyle w:val="Normal"/>
        <w:jc w:val="both"/>
        <w:rPr>
          <w:lang w:val="en-US"/>
        </w:rPr>
      </w:pPr>
      <w:r>
        <w:rPr>
          <w:rStyle w:val="Texample1"/>
          <w:lang w:val="en-US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  <w:lang w:val="en-US"/>
        </w:rPr>
        <w:t>lastprivate</w:t>
      </w:r>
      <w:r>
        <w:rPr>
          <w:lang w:val="en-US"/>
        </w:rPr>
        <w:t xml:space="preserve"> (list)</w:t>
      </w:r>
    </w:p>
    <w:p>
      <w:pPr>
        <w:pStyle w:val="Normal"/>
        <w:jc w:val="both"/>
        <w:rPr>
          <w:lang w:val="en-US"/>
        </w:rPr>
      </w:pPr>
      <w:r>
        <w:rPr>
          <w:rStyle w:val="Texample1"/>
          <w:lang w:val="en-US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  <w:lang w:val="en-US"/>
        </w:rPr>
        <w:t>reduction</w:t>
      </w:r>
      <w:r>
        <w:rPr>
          <w:lang w:val="en-US"/>
        </w:rPr>
        <w:t xml:space="preserve"> (operator: list)</w:t>
      </w:r>
    </w:p>
    <w:p>
      <w:pPr>
        <w:pStyle w:val="Normal"/>
        <w:jc w:val="both"/>
        <w:rPr>
          <w:rStyle w:val="Texample1"/>
          <w:lang w:val="en-US"/>
        </w:rPr>
      </w:pPr>
      <w:r>
        <w:rPr>
          <w:rStyle w:val="Texample1"/>
          <w:lang w:val="en-US"/>
        </w:rPr>
        <w:t xml:space="preserve">- </w:t>
      </w:r>
      <w:r>
        <w:rPr>
          <w:rStyle w:val="Texample1"/>
          <w:rFonts w:cs="Times New Roman"/>
          <w:color w:val="000000"/>
          <w:sz w:val="24"/>
          <w:szCs w:val="24"/>
          <w:lang w:val="en-US"/>
        </w:rPr>
        <w:t>nowait</w:t>
      </w:r>
    </w:p>
    <w:p>
      <w:pPr>
        <w:pStyle w:val="Normal"/>
        <w:jc w:val="both"/>
        <w:rPr>
          <w:rStyle w:val="Texample1"/>
          <w:lang w:val="en-US"/>
        </w:rPr>
      </w:pPr>
      <w:r>
        <w:rPr/>
      </w:r>
    </w:p>
    <w:p>
      <w:pPr>
        <w:pStyle w:val="Normal"/>
        <w:ind w:firstLine="540"/>
        <w:rPr/>
      </w:pPr>
      <w:bookmarkStart w:id="5" w:name="sect28"/>
      <w:bookmarkEnd w:id="5"/>
      <w:r>
        <w:rPr>
          <w:b/>
          <w:u w:val="single"/>
        </w:rPr>
        <w:t>Лабораторные задания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Задание.</w:t>
      </w:r>
      <w:r>
        <w:rPr/>
        <w:t xml:space="preserve"> Модифицировать программы, составленные в Л.Р. №№3,4, распределив вычислительную нагрузку по секциям (как минимум двумя способами). Измерять время работы программы для тех же значений параметров, что были использованы при выполнении Л.Р. №3. </w:t>
      </w:r>
      <w:r>
        <w:rPr>
          <w:b/>
        </w:rPr>
        <w:t>Результаты сравнить и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Требования к сдаче работы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Продемонстрировать выполнение лабораторных заданий.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Ответить на контрольные вопросы.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Показать преподавателю отчет.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  <w:u w:val="single"/>
        </w:rPr>
      </w:pPr>
      <w:r>
        <w:rPr>
          <w:b/>
          <w:u w:val="single"/>
        </w:rPr>
        <w:t>Литература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1.</w:t>
        <w:tab/>
        <w:t xml:space="preserve">Спецификации стандарта </w:t>
      </w:r>
      <w:r>
        <w:rPr>
          <w:lang w:val="en-US"/>
        </w:rPr>
        <w:t>OpenMP</w:t>
      </w:r>
      <w:r>
        <w:rPr/>
        <w:t xml:space="preserve"> (на английском языке):</w:t>
      </w:r>
    </w:p>
    <w:p>
      <w:pPr>
        <w:pStyle w:val="Normal"/>
        <w:ind w:firstLine="708"/>
        <w:jc w:val="both"/>
        <w:rPr/>
      </w:pPr>
      <w:hyperlink r:id="rId2">
        <w:r>
          <w:rPr>
            <w:rStyle w:val="InternetLink"/>
            <w:color w:val="000000"/>
          </w:rPr>
          <w:t>http://openmp.org/wp/openmp-specifications/</w:t>
        </w:r>
      </w:hyperlink>
    </w:p>
    <w:p>
      <w:pPr>
        <w:pStyle w:val="Normal"/>
        <w:jc w:val="both"/>
        <w:rPr/>
      </w:pPr>
      <w:r>
        <w:rPr/>
        <w:t>2.</w:t>
        <w:tab/>
        <w:t xml:space="preserve">Материалы, представленные на сайте </w:t>
      </w:r>
      <w:r>
        <w:rPr>
          <w:lang w:val="en-US"/>
        </w:rPr>
        <w:t>intuit</w:t>
      </w:r>
      <w:r>
        <w:rPr/>
        <w:t>.</w:t>
      </w:r>
      <w:r>
        <w:rPr>
          <w:lang w:val="en-US"/>
        </w:rPr>
        <w:t>ru</w:t>
      </w:r>
      <w:r>
        <w:rPr/>
        <w:t xml:space="preserve"> в рамках курса «Intel Parallel Programming Professional (Introduction)»:</w:t>
      </w:r>
    </w:p>
    <w:p>
      <w:pPr>
        <w:pStyle w:val="Normal"/>
        <w:jc w:val="both"/>
        <w:rPr/>
      </w:pPr>
      <w:r>
        <w:rPr/>
        <w:tab/>
      </w:r>
      <w:hyperlink r:id="rId3">
        <w:r>
          <w:rPr>
            <w:rStyle w:val="InternetLink"/>
            <w:color w:val="000000"/>
          </w:rPr>
          <w:t>http://old.intuit.ru/department/supercomputing/ppinteltt/4/</w:t>
        </w:r>
      </w:hyperlink>
    </w:p>
    <w:p>
      <w:pPr>
        <w:pStyle w:val="Normal"/>
        <w:jc w:val="both"/>
        <w:rPr/>
      </w:pPr>
      <w:r>
        <w:rPr/>
        <w:t>3.</w:t>
        <w:tab/>
        <w:t xml:space="preserve">С.А. Лупин, М.А. Посыпкин Технологии параллельного программирования. – М.: ИД «ФОРУМ»: ИНФРА-М, 2011. – С. 119-145. </w:t>
      </w:r>
      <w:r>
        <w:rPr>
          <w:i/>
        </w:rPr>
        <w:t xml:space="preserve">(Глава, посвященная </w:t>
      </w:r>
      <w:r>
        <w:rPr>
          <w:i/>
          <w:lang w:val="en-US"/>
        </w:rPr>
        <w:t>OpenMP</w:t>
      </w:r>
      <w:r>
        <w:rPr>
          <w:i/>
        </w:rPr>
        <w:t>)</w:t>
      </w:r>
    </w:p>
    <w:p>
      <w:pPr>
        <w:pStyle w:val="Normal"/>
        <w:jc w:val="both"/>
        <w:rPr/>
      </w:pPr>
      <w:r>
        <w:rPr/>
        <w:t xml:space="preserve">4. </w:t>
        <w:tab/>
        <w:t>Канг Су Гэтлин, Пит Айсенси - OpenMP и C++:</w:t>
      </w:r>
    </w:p>
    <w:p>
      <w:pPr>
        <w:pStyle w:val="Normal"/>
        <w:ind w:firstLine="708"/>
        <w:jc w:val="both"/>
        <w:rPr/>
      </w:pPr>
      <w:hyperlink r:id="rId4">
        <w:r>
          <w:rPr>
            <w:rStyle w:val="InternetLink"/>
            <w:color w:val="000000"/>
          </w:rPr>
          <w:t>http://msdn.microsoft.com/ru-ru/library/dd335940.aspx</w:t>
        </w:r>
      </w:hyperlink>
    </w:p>
    <w:p>
      <w:pPr>
        <w:pStyle w:val="Normal"/>
        <w:jc w:val="both"/>
        <w:rPr/>
      </w:pPr>
      <w:r>
        <w:rPr>
          <w:lang w:val="en-US"/>
        </w:rPr>
        <w:t>5.</w:t>
        <w:tab/>
        <w:t xml:space="preserve">API OpenMP C </w:t>
      </w:r>
      <w:r>
        <w:rPr/>
        <w:t>и</w:t>
      </w:r>
      <w:r>
        <w:rPr>
          <w:lang w:val="en-US"/>
        </w:rPr>
        <w:t xml:space="preserve"> C++</w:t>
      </w:r>
    </w:p>
    <w:p>
      <w:pPr>
        <w:pStyle w:val="Normal"/>
        <w:jc w:val="both"/>
        <w:rPr/>
      </w:pPr>
      <w:r>
        <w:rPr/>
        <w:tab/>
      </w:r>
      <w:hyperlink r:id="rId5">
        <w:r>
          <w:rPr>
            <w:rStyle w:val="InternetLink"/>
            <w:color w:val="000000"/>
          </w:rPr>
          <w:t>http://msdn.microsoft.com/ru-ru/library/8y6825x5.aspx</w:t>
        </w:r>
      </w:hyperlink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i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1">
    <w:name w:val="Основной шрифт абзаца"/>
    <w:qFormat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Texample1">
    <w:name w:val="texample1"/>
    <w:basedOn w:val="Style11"/>
    <w:qFormat/>
    <w:rPr>
      <w:rFonts w:ascii="Courier New" w:hAnsi="Courier New" w:cs="Courier New"/>
      <w:color w:val="222222"/>
      <w:sz w:val="20"/>
      <w:szCs w:val="20"/>
    </w:rPr>
  </w:style>
  <w:style w:type="character" w:styleId="Objectname1">
    <w:name w:val="objectname1"/>
    <w:basedOn w:val="Style11"/>
    <w:qFormat/>
    <w:rPr>
      <w:b/>
      <w:bCs/>
      <w:color w:val="330066"/>
      <w:sz w:val="16"/>
      <w:szCs w:val="16"/>
    </w:rPr>
  </w:style>
  <w:style w:type="character" w:styleId="Xmlemitalic1">
    <w:name w:val="xml_em_italic1"/>
    <w:basedOn w:val="Style1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mp.org/wp/openmp-specifications/" TargetMode="External"/><Relationship Id="rId3" Type="http://schemas.openxmlformats.org/officeDocument/2006/relationships/hyperlink" Target="http://old.intuit.ru/department/supercomputing/ppinteltt/4/" TargetMode="External"/><Relationship Id="rId4" Type="http://schemas.openxmlformats.org/officeDocument/2006/relationships/hyperlink" Target="http://msdn.microsoft.com/ru-ru/library/dd335940.aspx" TargetMode="External"/><Relationship Id="rId5" Type="http://schemas.openxmlformats.org/officeDocument/2006/relationships/hyperlink" Target="http://msdn.microsoft.com/ru-ru/library/8y6825x5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386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2014-02-09T21:25:00Z</dcterms:created>
  <dc:creator>CADABRA-PC</dc:creator>
  <dc:description/>
  <cp:keywords/>
  <dc:language>en-US</dc:language>
  <cp:lastModifiedBy>CADABRA-PC</cp:lastModifiedBy>
  <dcterms:modified xsi:type="dcterms:W3CDTF">2014-12-29T19:33:00Z</dcterms:modified>
  <cp:revision>87</cp:revision>
  <dc:subject/>
  <dc:title>Л.р №1. OpenMP</dc:title>
</cp:coreProperties>
</file>